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66" w:rsidRDefault="00DF3F6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3F66" w:rsidRDefault="00DF3F66">
      <w:pPr>
        <w:pStyle w:val="ConsPlusNormal"/>
        <w:jc w:val="both"/>
        <w:outlineLvl w:val="0"/>
      </w:pPr>
    </w:p>
    <w:p w:rsidR="00DF3F66" w:rsidRDefault="00DF3F66">
      <w:pPr>
        <w:pStyle w:val="ConsPlusNormal"/>
        <w:outlineLvl w:val="0"/>
      </w:pPr>
      <w:r>
        <w:t>Зарегистрировано в Минюсте России 1 ноября 2013 г. N 30306</w:t>
      </w:r>
    </w:p>
    <w:p w:rsidR="00DF3F66" w:rsidRDefault="00DF3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F66" w:rsidRDefault="00DF3F66">
      <w:pPr>
        <w:pStyle w:val="ConsPlusNormal"/>
      </w:pPr>
    </w:p>
    <w:p w:rsidR="00DF3F66" w:rsidRDefault="00DF3F6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F3F66" w:rsidRDefault="00DF3F66">
      <w:pPr>
        <w:pStyle w:val="ConsPlusTitle"/>
        <w:jc w:val="center"/>
      </w:pPr>
    </w:p>
    <w:p w:rsidR="00DF3F66" w:rsidRDefault="00DF3F66">
      <w:pPr>
        <w:pStyle w:val="ConsPlusTitle"/>
        <w:jc w:val="center"/>
      </w:pPr>
      <w:r>
        <w:t>ПРИКАЗ</w:t>
      </w:r>
    </w:p>
    <w:p w:rsidR="00DF3F66" w:rsidRDefault="00DF3F66">
      <w:pPr>
        <w:pStyle w:val="ConsPlusTitle"/>
        <w:jc w:val="center"/>
      </w:pPr>
      <w:r>
        <w:t>от 16 августа 2013 г. N 968</w:t>
      </w:r>
    </w:p>
    <w:p w:rsidR="00DF3F66" w:rsidRDefault="00DF3F66">
      <w:pPr>
        <w:pStyle w:val="ConsPlusTitle"/>
        <w:jc w:val="center"/>
      </w:pPr>
    </w:p>
    <w:p w:rsidR="00DF3F66" w:rsidRDefault="00DF3F66">
      <w:pPr>
        <w:pStyle w:val="ConsPlusTitle"/>
        <w:jc w:val="center"/>
      </w:pPr>
      <w:r>
        <w:t>ОБ УТВЕРЖДЕНИИ ПОРЯДКА</w:t>
      </w:r>
    </w:p>
    <w:p w:rsidR="00DF3F66" w:rsidRDefault="00DF3F66">
      <w:pPr>
        <w:pStyle w:val="ConsPlusTitle"/>
        <w:jc w:val="center"/>
      </w:pPr>
      <w:r>
        <w:t>ПРОВЕДЕНИЯ ГОСУДАРСТВЕННОЙ ИТОГОВОЙ АТТЕСТАЦИИ</w:t>
      </w:r>
    </w:p>
    <w:p w:rsidR="00DF3F66" w:rsidRDefault="00DF3F66">
      <w:pPr>
        <w:pStyle w:val="ConsPlusTitle"/>
        <w:jc w:val="center"/>
      </w:pPr>
      <w:r>
        <w:t>ПО ОБРАЗОВАТЕЛЬНЫМ ПРОГРАММАМ СРЕДНЕГО</w:t>
      </w:r>
    </w:p>
    <w:p w:rsidR="00DF3F66" w:rsidRDefault="00DF3F66">
      <w:pPr>
        <w:pStyle w:val="ConsPlusTitle"/>
        <w:jc w:val="center"/>
      </w:pPr>
      <w:r>
        <w:t>ПРОФЕССИОНАЛЬНОГО ОБРАЗОВАНИЯ</w:t>
      </w:r>
    </w:p>
    <w:p w:rsidR="00DF3F66" w:rsidRDefault="00DF3F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F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F66" w:rsidRDefault="00DF3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F66" w:rsidRDefault="00DF3F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31.01.2014 </w:t>
            </w:r>
            <w:hyperlink r:id="rId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3F66" w:rsidRDefault="00DF3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7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N 2326) приказываю: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F3F66" w:rsidRDefault="006C2789">
      <w:pPr>
        <w:pStyle w:val="ConsPlusNormal"/>
        <w:spacing w:before="220"/>
        <w:ind w:firstLine="540"/>
        <w:jc w:val="both"/>
      </w:pPr>
      <w:hyperlink r:id="rId9" w:history="1">
        <w:r w:rsidR="00DF3F66">
          <w:rPr>
            <w:color w:val="0000FF"/>
          </w:rPr>
          <w:t>приказ</w:t>
        </w:r>
      </w:hyperlink>
      <w:r w:rsidR="00DF3F66">
        <w:t xml:space="preserve"> Министерства образования Российской Федерации от 1 ноября 1995 г. N 563 "Об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экстерната" (зарегистрирован Министерством юстиции Российской Федерации 1 марта 1996 г., регистрационный N 1043);</w:t>
      </w:r>
    </w:p>
    <w:p w:rsidR="00DF3F66" w:rsidRDefault="006C2789">
      <w:pPr>
        <w:pStyle w:val="ConsPlusNormal"/>
        <w:spacing w:before="220"/>
        <w:ind w:firstLine="540"/>
        <w:jc w:val="both"/>
      </w:pPr>
      <w:hyperlink r:id="rId10" w:history="1">
        <w:r w:rsidR="00DF3F66">
          <w:rPr>
            <w:color w:val="0000FF"/>
          </w:rPr>
          <w:t>постановление</w:t>
        </w:r>
      </w:hyperlink>
      <w:r w:rsidR="00DF3F66">
        <w:t xml:space="preserve"> Государственного комитета Российской Федерации по высшему образованию от 27 декабря 1995 г. N 10 "Об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Федерации" (зарегистрировано Министерством юстиции Российской Федерации 26 января 1996 г., регистрационный N 1018).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jc w:val="right"/>
      </w:pPr>
      <w:r>
        <w:t>Первый заместитель Министра</w:t>
      </w:r>
    </w:p>
    <w:p w:rsidR="00DF3F66" w:rsidRDefault="00DF3F66">
      <w:pPr>
        <w:pStyle w:val="ConsPlusNormal"/>
        <w:jc w:val="right"/>
      </w:pPr>
      <w:r>
        <w:t>Н.В.ТРЕТЬЯК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jc w:val="right"/>
        <w:outlineLvl w:val="0"/>
      </w:pPr>
      <w:r>
        <w:t>Приложение</w:t>
      </w:r>
    </w:p>
    <w:p w:rsidR="00DF3F66" w:rsidRDefault="00DF3F66">
      <w:pPr>
        <w:pStyle w:val="ConsPlusNormal"/>
        <w:jc w:val="right"/>
      </w:pPr>
    </w:p>
    <w:p w:rsidR="00DF3F66" w:rsidRDefault="00DF3F66">
      <w:pPr>
        <w:pStyle w:val="ConsPlusNormal"/>
        <w:jc w:val="right"/>
      </w:pPr>
      <w:r>
        <w:t>Утвержден</w:t>
      </w:r>
    </w:p>
    <w:p w:rsidR="00DF3F66" w:rsidRDefault="00DF3F66">
      <w:pPr>
        <w:pStyle w:val="ConsPlusNormal"/>
        <w:jc w:val="right"/>
      </w:pPr>
      <w:r>
        <w:t>приказом Министерства образования</w:t>
      </w:r>
    </w:p>
    <w:p w:rsidR="00DF3F66" w:rsidRDefault="00DF3F66">
      <w:pPr>
        <w:pStyle w:val="ConsPlusNormal"/>
        <w:jc w:val="right"/>
      </w:pPr>
      <w:r>
        <w:t>и науки Российской Федерации</w:t>
      </w:r>
    </w:p>
    <w:p w:rsidR="00DF3F66" w:rsidRDefault="00DF3F66">
      <w:pPr>
        <w:pStyle w:val="ConsPlusNormal"/>
        <w:jc w:val="right"/>
      </w:pPr>
      <w:r>
        <w:t>от 16 августа 2013 г. N 968</w:t>
      </w:r>
    </w:p>
    <w:p w:rsidR="00DF3F66" w:rsidRDefault="00DF3F66">
      <w:pPr>
        <w:pStyle w:val="ConsPlusNormal"/>
        <w:jc w:val="right"/>
      </w:pPr>
    </w:p>
    <w:p w:rsidR="00DF3F66" w:rsidRDefault="00DF3F66">
      <w:pPr>
        <w:pStyle w:val="ConsPlusTitle"/>
        <w:jc w:val="center"/>
      </w:pPr>
      <w:bookmarkStart w:id="0" w:name="P37"/>
      <w:bookmarkEnd w:id="0"/>
      <w:r>
        <w:t>ПОРЯДОК</w:t>
      </w:r>
    </w:p>
    <w:p w:rsidR="00DF3F66" w:rsidRDefault="00DF3F66">
      <w:pPr>
        <w:pStyle w:val="ConsPlusTitle"/>
        <w:jc w:val="center"/>
      </w:pPr>
      <w:r>
        <w:t>ПРОВЕДЕНИЯ ГОСУДАРСТВЕННОЙ ИТОГОВОЙ АТТЕСТАЦИИ</w:t>
      </w:r>
    </w:p>
    <w:p w:rsidR="00DF3F66" w:rsidRDefault="00DF3F66">
      <w:pPr>
        <w:pStyle w:val="ConsPlusTitle"/>
        <w:jc w:val="center"/>
      </w:pPr>
      <w:r>
        <w:t>ПО ОБРАЗОВАТЕЛЬНЫМ ПРОГРАММАМ СРЕДНЕГО</w:t>
      </w:r>
    </w:p>
    <w:p w:rsidR="00DF3F66" w:rsidRDefault="00DF3F66">
      <w:pPr>
        <w:pStyle w:val="ConsPlusTitle"/>
        <w:jc w:val="center"/>
      </w:pPr>
      <w:r>
        <w:t>ПРОФЕССИОНАЛЬНОГО ОБРАЗОВАНИЯ</w:t>
      </w:r>
    </w:p>
    <w:p w:rsidR="00DF3F66" w:rsidRDefault="00DF3F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F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F66" w:rsidRDefault="00DF3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F66" w:rsidRDefault="00DF3F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31.01.2014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3F66" w:rsidRDefault="00DF3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2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3F66" w:rsidRDefault="00DF3F66">
      <w:pPr>
        <w:pStyle w:val="ConsPlusNormal"/>
        <w:jc w:val="center"/>
      </w:pPr>
    </w:p>
    <w:p w:rsidR="00DF3F66" w:rsidRDefault="00DF3F66">
      <w:pPr>
        <w:pStyle w:val="ConsPlusTitle"/>
        <w:jc w:val="center"/>
        <w:outlineLvl w:val="1"/>
      </w:pPr>
      <w:r>
        <w:t>I. Общие положения</w:t>
      </w:r>
    </w:p>
    <w:p w:rsidR="00DF3F66" w:rsidRDefault="00DF3F66">
      <w:pPr>
        <w:pStyle w:val="ConsPlusNormal"/>
        <w:jc w:val="center"/>
      </w:pPr>
    </w:p>
    <w:p w:rsidR="00DF3F66" w:rsidRDefault="00DF3F66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государственной итоговой аттестации студентов (курсантов)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</w:t>
      </w:r>
      <w:proofErr w:type="gramEnd"/>
      <w:r>
        <w:t xml:space="preserve"> </w:t>
      </w:r>
      <w:proofErr w:type="gramStart"/>
      <w:r>
        <w:t>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</w:t>
      </w:r>
      <w:proofErr w:type="gramEnd"/>
      <w:r>
        <w:t xml:space="preserve"> числа лиц с ограниченными возможностями здоровья.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2.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3. Образовательные организации используют необходимые для организации образовательной деятельности </w:t>
      </w:r>
      <w:r w:rsidRPr="002E2849">
        <w:rPr>
          <w:color w:val="FF0000"/>
        </w:rPr>
        <w:t>средства</w:t>
      </w:r>
      <w:r>
        <w:t xml:space="preserve"> при проведении государственной итоговой аттестации студентов.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4. Студентам и лицам, привлекаемым к государственной итоговой аттестации, во время ее проведения запрещается </w:t>
      </w:r>
      <w:proofErr w:type="gramStart"/>
      <w:r>
        <w:t>иметь при себе и использовать</w:t>
      </w:r>
      <w:proofErr w:type="gramEnd"/>
      <w:r>
        <w:t xml:space="preserve"> средства связи.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  <w:proofErr w:type="gramEnd"/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Title"/>
        <w:jc w:val="center"/>
        <w:outlineLvl w:val="1"/>
      </w:pPr>
      <w:r>
        <w:t>II. Государственная экзаменационная комиссия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  <w: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13" w:history="1">
        <w:r>
          <w:rPr>
            <w:color w:val="0000FF"/>
          </w:rPr>
          <w:t>стандарта</w:t>
        </w:r>
      </w:hyperlink>
      <w:r>
        <w:t xml:space="preserve"> среднего профессионального </w:t>
      </w:r>
      <w:r>
        <w:lastRenderedPageBreak/>
        <w:t>образования 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DF3F66" w:rsidRDefault="00DF3F6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В случае проведения демонстрационного экзамена в состав государственной экзаменационной комиссии входят также эксперты </w:t>
      </w:r>
      <w:r w:rsidRPr="006C2789">
        <w:rPr>
          <w:highlight w:val="yellow"/>
        </w:rPr>
        <w:t>союза "Агентство развития профессиональных сообществ и рабочих кадров "Молодые профессионалы (</w:t>
      </w:r>
      <w:proofErr w:type="spellStart"/>
      <w:r w:rsidRPr="006C2789">
        <w:rPr>
          <w:highlight w:val="yellow"/>
        </w:rPr>
        <w:t>Ворлдскиллс</w:t>
      </w:r>
      <w:proofErr w:type="spellEnd"/>
      <w:r w:rsidRPr="006C2789">
        <w:rPr>
          <w:highlight w:val="yellow"/>
        </w:rPr>
        <w:t xml:space="preserve"> Россия)"</w:t>
      </w:r>
      <w:bookmarkStart w:id="1" w:name="_GoBack"/>
      <w:bookmarkEnd w:id="1"/>
      <w:r>
        <w:t xml:space="preserve"> (далее - союз).</w:t>
      </w:r>
    </w:p>
    <w:p w:rsidR="00DF3F66" w:rsidRDefault="00DF3F6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7. Государственную экзаменационную комиссию возглавляет председатель, который </w:t>
      </w:r>
      <w:proofErr w:type="gramStart"/>
      <w:r>
        <w:t>организует и контролирует</w:t>
      </w:r>
      <w:proofErr w:type="gramEnd"/>
      <w:r>
        <w:t xml:space="preserve"> деятельность государственной экзаменационной комиссии, обеспечивает единство требований, предъявляемых к выпускникам.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организация, по представлению частной образовательной организации.</w:t>
      </w:r>
    </w:p>
    <w:p w:rsidR="00DF3F66" w:rsidRDefault="00DF3F6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31.01.2014 N 74)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DF3F66" w:rsidRDefault="00DF3F6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абзац утратил силу с 1 января 2018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DF3F66" w:rsidRDefault="00DF3F6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 w:rsidRPr="00E332D0">
        <w:t>8.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DF3F66" w:rsidRDefault="00DF3F6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lastRenderedPageBreak/>
        <w:t>9. Государственная экзаменационная комиссия действует в течение одного календарного года.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Title"/>
        <w:jc w:val="center"/>
        <w:outlineLvl w:val="1"/>
      </w:pPr>
      <w:r>
        <w:t>III. Формы государственной итоговой аттестации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  <w:r>
        <w:t>10.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экзамен(ы), в том числе в виде демонстрационного экзамена.</w:t>
      </w:r>
    </w:p>
    <w:p w:rsidR="00DF3F66" w:rsidRDefault="00DF3F66">
      <w:pPr>
        <w:pStyle w:val="ConsPlusNormal"/>
        <w:jc w:val="both"/>
      </w:pPr>
      <w:r>
        <w:t xml:space="preserve">(п. 10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12.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DF3F66" w:rsidRDefault="00DF3F66">
      <w:pPr>
        <w:pStyle w:val="ConsPlusNormal"/>
        <w:jc w:val="both"/>
      </w:pPr>
      <w:r>
        <w:t xml:space="preserve">(п. 12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13. 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</w:t>
      </w:r>
      <w:hyperlink r:id="rId23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образования.</w:t>
      </w:r>
      <w:proofErr w:type="gramEnd"/>
    </w:p>
    <w:p w:rsidR="00DF3F66" w:rsidRDefault="00DF3F66">
      <w:pPr>
        <w:pStyle w:val="ConsPlusNormal"/>
        <w:jc w:val="both"/>
      </w:pPr>
      <w:r>
        <w:t xml:space="preserve">(п. 14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31.01.2014 N 74)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14.1.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DF3F66" w:rsidRDefault="00DF3F66">
      <w:pPr>
        <w:pStyle w:val="ConsPlusNormal"/>
        <w:jc w:val="both"/>
      </w:pPr>
      <w:r>
        <w:lastRenderedPageBreak/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15.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</w:t>
      </w:r>
      <w:proofErr w:type="gramStart"/>
      <w:r>
        <w:t>определяются с учетом примерной основной образовательной программы среднего профессионального образования и утверждаются</w:t>
      </w:r>
      <w:proofErr w:type="gramEnd"/>
      <w:r>
        <w:t xml:space="preserve">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DF3F66" w:rsidRDefault="00DF3F66">
      <w:pPr>
        <w:pStyle w:val="ConsPlusNormal"/>
        <w:jc w:val="both"/>
      </w:pPr>
      <w:r>
        <w:t xml:space="preserve">(п. 15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16.1. 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DF3F66" w:rsidRDefault="00DF3F66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Title"/>
        <w:jc w:val="center"/>
        <w:outlineLvl w:val="1"/>
      </w:pPr>
      <w:r>
        <w:t>IV. Порядок проведения государственной итоговой аттестации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  <w:r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&lt;1&gt;.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  <w:r>
        <w:t xml:space="preserve">18.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</w:t>
      </w:r>
      <w:proofErr w:type="gramStart"/>
      <w:r>
        <w:t>позднее</w:t>
      </w:r>
      <w:proofErr w:type="gramEnd"/>
      <w:r>
        <w:t xml:space="preserve"> чем за шесть месяцев до начала государственной итоговой аттестации.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18.1. 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DF3F66" w:rsidRDefault="00DF3F66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17.11.2017 N 1138)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19.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20.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21. Решения государственных экзаменационных комиссий принимаются на закрытых </w:t>
      </w:r>
      <w:r>
        <w:lastRenderedPageBreak/>
        <w:t>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DF3F66" w:rsidRDefault="00DF3F66">
      <w:pPr>
        <w:pStyle w:val="ConsPlusNormal"/>
        <w:spacing w:before="220"/>
        <w:ind w:firstLine="540"/>
        <w:jc w:val="both"/>
      </w:pPr>
      <w:proofErr w:type="gramStart"/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DF3F66" w:rsidRDefault="00DF3F66">
      <w:pPr>
        <w:pStyle w:val="ConsPlusNormal"/>
        <w:spacing w:before="220"/>
        <w:ind w:firstLine="540"/>
        <w:jc w:val="both"/>
      </w:pPr>
      <w: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Title"/>
        <w:jc w:val="center"/>
        <w:outlineLvl w:val="1"/>
      </w:pPr>
      <w:r>
        <w:t xml:space="preserve">V. Порядок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DF3F66" w:rsidRDefault="00DF3F66">
      <w:pPr>
        <w:pStyle w:val="ConsPlusTitle"/>
        <w:jc w:val="center"/>
      </w:pPr>
      <w:r>
        <w:t xml:space="preserve">аттестации для выпускников из числа лиц с </w:t>
      </w:r>
      <w:proofErr w:type="gramStart"/>
      <w:r>
        <w:t>ограниченными</w:t>
      </w:r>
      <w:proofErr w:type="gramEnd"/>
    </w:p>
    <w:p w:rsidR="00DF3F66" w:rsidRDefault="00DF3F66">
      <w:pPr>
        <w:pStyle w:val="ConsPlusTitle"/>
        <w:jc w:val="center"/>
      </w:pPr>
      <w:r>
        <w:t>возможностями здоровья</w:t>
      </w:r>
    </w:p>
    <w:p w:rsidR="00DF3F66" w:rsidRDefault="00DF3F66">
      <w:pPr>
        <w:pStyle w:val="ConsPlusNormal"/>
        <w:jc w:val="center"/>
      </w:pPr>
    </w:p>
    <w:p w:rsidR="00DF3F66" w:rsidRDefault="00DF3F66">
      <w:pPr>
        <w:pStyle w:val="ConsPlusNormal"/>
        <w:ind w:firstLine="540"/>
        <w:jc w:val="both"/>
      </w:pPr>
      <w:r>
        <w:t>25.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26. При проведении государственной итоговой аттестации обеспечивается соблюдение следующих общих требований: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</w:t>
      </w:r>
      <w:proofErr w:type="gramStart"/>
      <w:r>
        <w:t>прочитать и оформить</w:t>
      </w:r>
      <w:proofErr w:type="gramEnd"/>
      <w:r>
        <w:t xml:space="preserve"> задание, общаться с членами государственной </w:t>
      </w:r>
      <w:r>
        <w:lastRenderedPageBreak/>
        <w:t>экзаменационной комиссии);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F3F66" w:rsidRDefault="00DF3F66">
      <w:pPr>
        <w:pStyle w:val="ConsPlusNormal"/>
        <w:spacing w:before="220"/>
        <w:ind w:firstLine="540"/>
        <w:jc w:val="both"/>
      </w:pPr>
      <w:r w:rsidRPr="00E72DE3">
        <w:rPr>
          <w:highlight w:val="yellow"/>
        </w:rPr>
        <w:t>а) для слепых: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F3F66" w:rsidRDefault="00DF3F66">
      <w:pPr>
        <w:pStyle w:val="ConsPlusNormal"/>
        <w:spacing w:before="220"/>
        <w:ind w:firstLine="540"/>
        <w:jc w:val="both"/>
      </w:pPr>
      <w:r w:rsidRPr="00E72DE3">
        <w:rPr>
          <w:highlight w:val="yellow"/>
        </w:rPr>
        <w:t>б) для слабовидящих: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выпускникам для выполнения задания при необходимости предоставляется увеличивающее устройство;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F3F66" w:rsidRDefault="00DF3F66">
      <w:pPr>
        <w:pStyle w:val="ConsPlusNormal"/>
        <w:spacing w:before="220"/>
        <w:ind w:firstLine="540"/>
        <w:jc w:val="both"/>
      </w:pPr>
      <w:r w:rsidRPr="00E72DE3">
        <w:rPr>
          <w:highlight w:val="yellow"/>
        </w:rPr>
        <w:t>в) для глухих и слабослышащих, с тяжелыми нарушениями речи: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по их желанию государственный экзамен может проводиться в письменной форме;</w:t>
      </w:r>
    </w:p>
    <w:p w:rsidR="00DF3F66" w:rsidRDefault="00DF3F66">
      <w:pPr>
        <w:pStyle w:val="ConsPlusNormal"/>
        <w:spacing w:before="220"/>
        <w:ind w:firstLine="540"/>
        <w:jc w:val="both"/>
      </w:pPr>
      <w:r w:rsidRPr="00E72DE3">
        <w:rPr>
          <w:highlight w:val="yellow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по их желанию государственный экзамен может проводиться в устной форме.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28. Выпускники или родители </w:t>
      </w:r>
      <w:hyperlink r:id="rId30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</w:t>
      </w:r>
      <w:r>
        <w:lastRenderedPageBreak/>
        <w:t>государственной итоговой аттестации.</w:t>
      </w:r>
    </w:p>
    <w:p w:rsidR="00DF3F66" w:rsidRDefault="00DF3F6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F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F66" w:rsidRDefault="00DF3F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F3F66" w:rsidRDefault="00DF3F66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DF3F66" w:rsidRDefault="00DF3F66">
      <w:pPr>
        <w:pStyle w:val="ConsPlusTitle"/>
        <w:spacing w:before="220"/>
        <w:jc w:val="center"/>
        <w:outlineLvl w:val="1"/>
      </w:pPr>
      <w:r>
        <w:t>IV. Порядок подачи и рассмотрения апелляций</w:t>
      </w:r>
    </w:p>
    <w:p w:rsidR="00DF3F66" w:rsidRDefault="00DF3F66">
      <w:pPr>
        <w:pStyle w:val="ConsPlusNormal"/>
        <w:jc w:val="center"/>
      </w:pPr>
    </w:p>
    <w:p w:rsidR="00DF3F66" w:rsidRDefault="00DF3F66">
      <w:pPr>
        <w:pStyle w:val="ConsPlusNormal"/>
        <w:ind w:firstLine="540"/>
        <w:jc w:val="both"/>
      </w:pPr>
      <w:r>
        <w:t xml:space="preserve"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</w:t>
      </w:r>
      <w:r w:rsidRPr="002D6C29">
        <w:rPr>
          <w:shd w:val="clear" w:color="auto" w:fill="FFFF00"/>
        </w:rPr>
        <w:t>несогласии с ее результатами</w:t>
      </w:r>
      <w:r>
        <w:t xml:space="preserve"> (далее - апелляция).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F3F66" w:rsidRDefault="00DF3F66">
      <w:pPr>
        <w:pStyle w:val="ConsPlusNormal"/>
        <w:spacing w:before="220"/>
        <w:ind w:firstLine="540"/>
        <w:jc w:val="both"/>
      </w:pPr>
      <w:r w:rsidRPr="002D6C29">
        <w:rPr>
          <w:shd w:val="clear" w:color="auto" w:fill="FFFF00"/>
        </w:rPr>
        <w:t>Апелляция о несогласии с результатами государственной итоговой аттестации подается</w:t>
      </w:r>
      <w:r>
        <w:t xml:space="preserve"> не позднее следующего рабочего дня после объявления результатов государственной итоговой аттестации.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31. Апелляция рассматривается апелляционной комиссией не позднее трех рабочих дней с момента ее поступления.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32.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33. 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</w:t>
      </w:r>
      <w:r w:rsidRPr="00B33AE1">
        <w:rPr>
          <w:highlight w:val="yellow"/>
        </w:rPr>
        <w:t>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</w:t>
      </w:r>
      <w:r>
        <w:t>. Секретарь избирается из числа членов апелляционной комиссии.</w:t>
      </w:r>
    </w:p>
    <w:p w:rsidR="00DF3F66" w:rsidRDefault="00DF3F66">
      <w:pPr>
        <w:pStyle w:val="ConsPlusNormal"/>
        <w:jc w:val="both"/>
      </w:pPr>
      <w:r>
        <w:t xml:space="preserve">(п. 33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31.01.2014 N 74)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34. Апелляция рассматривается на заседании апелляционной комиссии с участием не менее двух третей ее состава.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Выпускник, подавший апелляцию, имеет право присутствовать при рассмотрении апелляции.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С несовершеннолетним выпускником имеет право присутствовать один из родителей </w:t>
      </w:r>
      <w:hyperlink r:id="rId32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Указанные лица должны иметь при себе документы, удостоверяющие личность.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35. Рассмотрение апелляции не является пересдачей государственной итоговой аттестации.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36. При рассмотрении апелляции о нарушении порядка проведения государственной итоговой аттестации апелляционная комиссия </w:t>
      </w:r>
      <w:proofErr w:type="gramStart"/>
      <w:r>
        <w:t xml:space="preserve">устанавливает достоверность изложенных в ней </w:t>
      </w:r>
      <w:r>
        <w:lastRenderedPageBreak/>
        <w:t>сведений и выносит</w:t>
      </w:r>
      <w:proofErr w:type="gramEnd"/>
      <w:r>
        <w:t xml:space="preserve"> одно из решений: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</w:t>
      </w:r>
      <w:proofErr w:type="gramStart"/>
      <w:r>
        <w:t>подтвердились и повлияли</w:t>
      </w:r>
      <w:proofErr w:type="gramEnd"/>
      <w:r>
        <w:t xml:space="preserve"> на результат государственной итоговой аттестации.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 w:rsidRPr="002D6C29">
        <w:rPr>
          <w:shd w:val="clear" w:color="auto" w:fill="FFFF00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</w:t>
      </w:r>
      <w:r>
        <w:t>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DF3F66" w:rsidRDefault="00DF3F66">
      <w:pPr>
        <w:pStyle w:val="ConsPlusNormal"/>
        <w:spacing w:before="220"/>
        <w:ind w:firstLine="540"/>
        <w:jc w:val="both"/>
      </w:pPr>
      <w:proofErr w:type="gramStart"/>
      <w:r w:rsidRPr="002D6C29">
        <w:rPr>
          <w:shd w:val="clear" w:color="auto" w:fill="FFFF00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</w:t>
      </w:r>
      <w:r>
        <w:t>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DF3F66" w:rsidRDefault="00DF3F66">
      <w:pPr>
        <w:pStyle w:val="ConsPlusNormal"/>
        <w:spacing w:before="220"/>
        <w:ind w:firstLine="540"/>
        <w:jc w:val="both"/>
      </w:pPr>
      <w:r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40. Решение апелляционной комиссии </w:t>
      </w:r>
      <w:proofErr w:type="gramStart"/>
      <w:r>
        <w:t>является окончательным и пересмотру не подлежит</w:t>
      </w:r>
      <w:proofErr w:type="gramEnd"/>
      <w:r>
        <w:t>.</w:t>
      </w:r>
    </w:p>
    <w:p w:rsidR="00DF3F66" w:rsidRDefault="00DF3F66">
      <w:pPr>
        <w:pStyle w:val="ConsPlusNormal"/>
        <w:spacing w:before="220"/>
        <w:ind w:firstLine="540"/>
        <w:jc w:val="both"/>
      </w:pPr>
      <w:r>
        <w:t xml:space="preserve">41. Решение апелляционной комиссии оформляется протоколом, который </w:t>
      </w:r>
      <w:proofErr w:type="gramStart"/>
      <w:r>
        <w:t>подписывается председателем и секретарем апелляционной комиссии и хранится</w:t>
      </w:r>
      <w:proofErr w:type="gramEnd"/>
      <w:r>
        <w:t xml:space="preserve"> в архиве образовательной организации.</w:t>
      </w: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ind w:firstLine="540"/>
        <w:jc w:val="both"/>
      </w:pPr>
    </w:p>
    <w:p w:rsidR="00DF3F66" w:rsidRDefault="00DF3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DBF" w:rsidRDefault="00023DBF"/>
    <w:sectPr w:rsidR="00023DBF" w:rsidSect="0060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66"/>
    <w:rsid w:val="00023DBF"/>
    <w:rsid w:val="002D6C29"/>
    <w:rsid w:val="002E2849"/>
    <w:rsid w:val="003F0C7F"/>
    <w:rsid w:val="00406E94"/>
    <w:rsid w:val="006C2789"/>
    <w:rsid w:val="00862021"/>
    <w:rsid w:val="00B33AE1"/>
    <w:rsid w:val="00C83682"/>
    <w:rsid w:val="00DF3F66"/>
    <w:rsid w:val="00E332D0"/>
    <w:rsid w:val="00E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9C4B369603CC7CC985969911307A74F666C8B58C231C4F719549C8708649983523802BC5BDA7AMBmDO" TargetMode="External"/><Relationship Id="rId13" Type="http://schemas.openxmlformats.org/officeDocument/2006/relationships/hyperlink" Target="consultantplus://offline/ref=0F59C4B369603CC7CC985969911307A74C606F8B5CC731C4F719549C8708649983523802BC5BD278MBm6O" TargetMode="External"/><Relationship Id="rId18" Type="http://schemas.openxmlformats.org/officeDocument/2006/relationships/hyperlink" Target="consultantplus://offline/ref=0F59C4B369603CC7CC985969911307A74F6C698155C731C4F719549C8708649983523802BC5BD27BMBm7O" TargetMode="External"/><Relationship Id="rId26" Type="http://schemas.openxmlformats.org/officeDocument/2006/relationships/hyperlink" Target="consultantplus://offline/ref=0F59C4B369603CC7CC985969911307A74F6C698155C731C4F719549C8708649983523802BC5BD279MBm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59C4B369603CC7CC985969911307A74F6C698155C731C4F719549C8708649983523802BC5BD278MBmD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F59C4B369603CC7CC985969911307A74F6C698155C731C4F719549C8708649983523802BC5BD27AMBm9O" TargetMode="External"/><Relationship Id="rId12" Type="http://schemas.openxmlformats.org/officeDocument/2006/relationships/hyperlink" Target="consultantplus://offline/ref=0F59C4B369603CC7CC985969911307A74F6C698155C731C4F719549C8708649983523802BC5BD27AMBm9O" TargetMode="External"/><Relationship Id="rId17" Type="http://schemas.openxmlformats.org/officeDocument/2006/relationships/hyperlink" Target="consultantplus://offline/ref=0F59C4B369603CC7CC985969911307A74F6C698155C731C4F719549C8708649983523802BC5BD27BMBm9O" TargetMode="External"/><Relationship Id="rId25" Type="http://schemas.openxmlformats.org/officeDocument/2006/relationships/hyperlink" Target="consultantplus://offline/ref=0F59C4B369603CC7CC985969911307A74F6C698155C731C4F719549C8708649983523802BC5BD278MBm7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59C4B369603CC7CC985969911307A74C61648158C031C4F719549C8708649983523802BC5BD27BMBmBO" TargetMode="External"/><Relationship Id="rId20" Type="http://schemas.openxmlformats.org/officeDocument/2006/relationships/hyperlink" Target="consultantplus://offline/ref=0F59C4B369603CC7CC985969911307A74F6C698155C731C4F719549C8708649983523802BC5BD278MBmEO" TargetMode="External"/><Relationship Id="rId29" Type="http://schemas.openxmlformats.org/officeDocument/2006/relationships/hyperlink" Target="consultantplus://offline/ref=0F59C4B369603CC7CC985969911307A74F6C698155C731C4F719549C8708649983523802BC5BD279MBm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9C4B369603CC7CC985969911307A74C61648158C031C4F719549C8708649983523802BC5BD27AMBm9O" TargetMode="External"/><Relationship Id="rId11" Type="http://schemas.openxmlformats.org/officeDocument/2006/relationships/hyperlink" Target="consultantplus://offline/ref=0F59C4B369603CC7CC985969911307A74C61648158C031C4F719549C8708649983523802BC5BD27BMBmFO" TargetMode="External"/><Relationship Id="rId24" Type="http://schemas.openxmlformats.org/officeDocument/2006/relationships/hyperlink" Target="consultantplus://offline/ref=0F59C4B369603CC7CC985969911307A74C61648158C031C4F719549C8708649983523802BC5BD278MBmEO" TargetMode="External"/><Relationship Id="rId32" Type="http://schemas.openxmlformats.org/officeDocument/2006/relationships/hyperlink" Target="consultantplus://offline/ref=0F59C4B369603CC7CC985969911307A7446D6B8E5DC86CCEFF40589E80073B8E841B3403BC5BD2M7m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59C4B369603CC7CC985969911307A74F6C698155C731C4F719549C8708649983523802BC5BD27BMBmBO" TargetMode="External"/><Relationship Id="rId23" Type="http://schemas.openxmlformats.org/officeDocument/2006/relationships/hyperlink" Target="consultantplus://offline/ref=0F59C4B369603CC7CC985969911307A74C606F8B5CC731C4F719549C8708649983523802BC5BD278MBm6O" TargetMode="External"/><Relationship Id="rId28" Type="http://schemas.openxmlformats.org/officeDocument/2006/relationships/hyperlink" Target="consultantplus://offline/ref=0F59C4B369603CC7CC985969911307A74F666C8B58C231C4F719549C8708649983523802BC5BDA7AMBmCO" TargetMode="External"/><Relationship Id="rId10" Type="http://schemas.openxmlformats.org/officeDocument/2006/relationships/hyperlink" Target="consultantplus://offline/ref=0F59C4B369603CC7CC985969911307A744656E80579566C6A64C5AM9m9O" TargetMode="External"/><Relationship Id="rId19" Type="http://schemas.openxmlformats.org/officeDocument/2006/relationships/hyperlink" Target="consultantplus://offline/ref=0F59C4B369603CC7CC985969911307A74F6C698155C731C4F719549C8708649983523802BC5BD27BMBm6O" TargetMode="External"/><Relationship Id="rId31" Type="http://schemas.openxmlformats.org/officeDocument/2006/relationships/hyperlink" Target="consultantplus://offline/ref=0F59C4B369603CC7CC985969911307A74C61648158C031C4F719549C8708649983523802BC5BD278MB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9C4B369603CC7CC985969911307A744626B8F579566C6A64C5AM9m9O" TargetMode="External"/><Relationship Id="rId14" Type="http://schemas.openxmlformats.org/officeDocument/2006/relationships/hyperlink" Target="consultantplus://offline/ref=0F59C4B369603CC7CC985969911307A74F6C698155C731C4F719549C8708649983523802BC5BD27BMBmDO" TargetMode="External"/><Relationship Id="rId22" Type="http://schemas.openxmlformats.org/officeDocument/2006/relationships/hyperlink" Target="consultantplus://offline/ref=0F59C4B369603CC7CC985969911307A74F6C698155C731C4F719549C8708649983523802BC5BD278MBmBO" TargetMode="External"/><Relationship Id="rId27" Type="http://schemas.openxmlformats.org/officeDocument/2006/relationships/hyperlink" Target="consultantplus://offline/ref=0F59C4B369603CC7CC985969911307A74F6C698155C731C4F719549C8708649983523802BC5BD279MBmCO" TargetMode="External"/><Relationship Id="rId30" Type="http://schemas.openxmlformats.org/officeDocument/2006/relationships/hyperlink" Target="consultantplus://offline/ref=0F59C4B369603CC7CC985969911307A7446D6B8E5DC86CCEFF40589E80073B8E841B3403BC5BD2M7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Ивановна</dc:creator>
  <cp:lastModifiedBy>Матвеева Светлана Ивановна</cp:lastModifiedBy>
  <cp:revision>8</cp:revision>
  <cp:lastPrinted>2018-11-23T05:40:00Z</cp:lastPrinted>
  <dcterms:created xsi:type="dcterms:W3CDTF">2018-01-10T14:38:00Z</dcterms:created>
  <dcterms:modified xsi:type="dcterms:W3CDTF">2018-12-07T04:21:00Z</dcterms:modified>
</cp:coreProperties>
</file>