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520" w:rsidRPr="004C20D6" w:rsidRDefault="00FB2520" w:rsidP="00FB252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ОБЛАСТНОЕ </w:t>
      </w:r>
      <w:r w:rsidRPr="004C20D6">
        <w:rPr>
          <w:rFonts w:ascii="Times New Roman" w:hAnsi="Times New Roman"/>
          <w:sz w:val="28"/>
          <w:szCs w:val="28"/>
          <w:lang w:eastAsia="ru-RU"/>
        </w:rPr>
        <w:t xml:space="preserve">ГОСУДАРСТВЕННОЕ </w:t>
      </w:r>
      <w:r>
        <w:rPr>
          <w:rFonts w:ascii="Times New Roman" w:hAnsi="Times New Roman"/>
          <w:sz w:val="28"/>
          <w:szCs w:val="28"/>
          <w:lang w:eastAsia="ru-RU"/>
        </w:rPr>
        <w:t xml:space="preserve">БЮДЖЕТНОЕ </w:t>
      </w:r>
      <w:r w:rsidRPr="004C20D6">
        <w:rPr>
          <w:rFonts w:ascii="Times New Roman" w:hAnsi="Times New Roman"/>
          <w:sz w:val="28"/>
          <w:szCs w:val="28"/>
          <w:lang w:eastAsia="ru-RU"/>
        </w:rPr>
        <w:t>ОБРАЗОВАТЕЛЬНОЕ УЧРЕЖДЕНИЕ</w:t>
      </w:r>
    </w:p>
    <w:p w:rsidR="00FB2520" w:rsidRPr="004C20D6" w:rsidRDefault="00FB2520" w:rsidP="00FB252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СРЕДНЕГО ПРОФЕССИОНАЛЬНОГО ОБРАЗОВАНИЯ</w:t>
      </w:r>
    </w:p>
    <w:p w:rsidR="00FB2520" w:rsidRPr="004C20D6" w:rsidRDefault="00FB2520" w:rsidP="00FB252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«СМОЛЕНСКИЙ ПРОМЫШЛЕННО-ЭКОНОМИЧЕСКИЙ КОЛЛЕДЖ»</w:t>
      </w:r>
    </w:p>
    <w:p w:rsidR="00FB2520" w:rsidRPr="004C20D6" w:rsidRDefault="00FB2520" w:rsidP="00FB2520"/>
    <w:p w:rsidR="00FB2520" w:rsidRPr="004C20D6" w:rsidRDefault="00FB2520" w:rsidP="00FB2520"/>
    <w:p w:rsidR="00FB2520" w:rsidRPr="004C20D6" w:rsidRDefault="00FB2520" w:rsidP="00FB2520"/>
    <w:p w:rsidR="00FB2520" w:rsidRPr="004C20D6" w:rsidRDefault="00FB2520" w:rsidP="00FB2520"/>
    <w:p w:rsidR="00FB2520" w:rsidRPr="004C20D6" w:rsidRDefault="00FB2520" w:rsidP="00FB2520"/>
    <w:p w:rsidR="00FB2520" w:rsidRPr="004C20D6" w:rsidRDefault="00FB2520" w:rsidP="00FB2520"/>
    <w:p w:rsidR="00FB2520" w:rsidRPr="004C20D6" w:rsidRDefault="00FB2520" w:rsidP="00FB2520"/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4C20D6">
        <w:rPr>
          <w:rFonts w:ascii="Times New Roman" w:hAnsi="Times New Roman"/>
          <w:b/>
          <w:bCs/>
          <w:sz w:val="36"/>
          <w:szCs w:val="36"/>
        </w:rPr>
        <w:t>ИНЖЕНЕРНАЯ ГРАФИКА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C20D6">
        <w:rPr>
          <w:rFonts w:ascii="Times New Roman" w:hAnsi="Times New Roman"/>
          <w:b/>
          <w:bCs/>
          <w:sz w:val="28"/>
          <w:szCs w:val="28"/>
        </w:rPr>
        <w:t>Учебно-методическое пособие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C20D6">
        <w:rPr>
          <w:rFonts w:ascii="Times New Roman" w:hAnsi="Times New Roman"/>
          <w:b/>
          <w:bCs/>
          <w:sz w:val="28"/>
          <w:szCs w:val="28"/>
        </w:rPr>
        <w:t>для  самостоятел</w:t>
      </w:r>
      <w:r>
        <w:rPr>
          <w:rFonts w:ascii="Times New Roman" w:hAnsi="Times New Roman"/>
          <w:b/>
          <w:bCs/>
          <w:sz w:val="28"/>
          <w:szCs w:val="28"/>
        </w:rPr>
        <w:t>ьной работы  для студентов очного</w:t>
      </w:r>
      <w:r w:rsidRPr="004C20D6">
        <w:rPr>
          <w:rFonts w:ascii="Times New Roman" w:hAnsi="Times New Roman"/>
          <w:b/>
          <w:bCs/>
          <w:sz w:val="28"/>
          <w:szCs w:val="28"/>
        </w:rPr>
        <w:t xml:space="preserve"> отделения</w:t>
      </w:r>
    </w:p>
    <w:p w:rsidR="00FB2520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 специальности среднего профессионального образования 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200111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ab/>
        <w:t>Радиоэлектронные приборные устройства</w:t>
      </w: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2520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2520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2520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Разработал</w:t>
      </w: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Антипов В.А.</w:t>
      </w: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2520" w:rsidRDefault="00FB2520" w:rsidP="00FB2520">
      <w:pPr>
        <w:rPr>
          <w:rFonts w:ascii="Times New Roman" w:hAnsi="Times New Roman"/>
          <w:b/>
          <w:sz w:val="28"/>
          <w:szCs w:val="28"/>
        </w:rPr>
      </w:pPr>
    </w:p>
    <w:p w:rsidR="00FB2520" w:rsidRPr="004C20D6" w:rsidRDefault="00FB2520" w:rsidP="00FB2520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 w:rsidRPr="004C20D6">
        <w:rPr>
          <w:rFonts w:ascii="Times New Roman" w:hAnsi="Times New Roman"/>
        </w:rPr>
        <w:t>Смоленск</w:t>
      </w:r>
    </w:p>
    <w:p w:rsidR="00FB2520" w:rsidRPr="004C20D6" w:rsidRDefault="00FB2520" w:rsidP="00FB252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2013</w:t>
      </w: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br w:type="page"/>
      </w:r>
      <w:r w:rsidRPr="004C20D6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FB2520" w:rsidRPr="004C20D6" w:rsidRDefault="00FB2520" w:rsidP="00FB2520">
      <w:pPr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Введение…………………………………………………………………………...</w:t>
      </w:r>
    </w:p>
    <w:p w:rsidR="00FB2520" w:rsidRPr="004C20D6" w:rsidRDefault="00FB2520" w:rsidP="00FB2520">
      <w:pPr>
        <w:jc w:val="both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 xml:space="preserve">1. Структура и методика руководства самостоятельной работой </w:t>
      </w:r>
    </w:p>
    <w:p w:rsidR="00FB2520" w:rsidRPr="004C20D6" w:rsidRDefault="00FB2520" w:rsidP="00FB2520">
      <w:pPr>
        <w:jc w:val="both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студентов …………………………………………………….............................</w:t>
      </w:r>
    </w:p>
    <w:p w:rsidR="00FB2520" w:rsidRPr="004C20D6" w:rsidRDefault="00FB2520" w:rsidP="00FB2520">
      <w:pPr>
        <w:jc w:val="both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1.1.  Цели и задачи самостоятельной работы……………………..……………</w:t>
      </w:r>
    </w:p>
    <w:p w:rsidR="00FB2520" w:rsidRPr="004C20D6" w:rsidRDefault="00FB2520" w:rsidP="00FB25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 xml:space="preserve">1.2.Самостоятельная работа по решению задач, выполнению </w:t>
      </w:r>
    </w:p>
    <w:p w:rsidR="00FB2520" w:rsidRPr="004C20D6" w:rsidRDefault="00FB2520" w:rsidP="00FB252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упражнений ….………….……………………………….………………………</w:t>
      </w:r>
    </w:p>
    <w:p w:rsidR="00FB2520" w:rsidRPr="004C20D6" w:rsidRDefault="00FB2520" w:rsidP="00FB25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1.3.Самостоятельная работа по выполнению домашних расчетно-</w:t>
      </w:r>
    </w:p>
    <w:p w:rsidR="00FB2520" w:rsidRPr="004C20D6" w:rsidRDefault="00FB2520" w:rsidP="00FB25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графических работ ………………………………………………………………</w:t>
      </w:r>
    </w:p>
    <w:p w:rsidR="00FB2520" w:rsidRPr="004C20D6" w:rsidRDefault="00FB2520" w:rsidP="00FB25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1.4. Самостоятельная работа по составлению таблиц и схем ……………….</w:t>
      </w:r>
    </w:p>
    <w:p w:rsidR="00FB2520" w:rsidRPr="004C20D6" w:rsidRDefault="00FB2520" w:rsidP="00FB25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color w:val="000000"/>
          <w:sz w:val="28"/>
          <w:szCs w:val="28"/>
        </w:rPr>
        <w:t>Список  использованной  литературы</w:t>
      </w:r>
      <w:r w:rsidRPr="004C20D6">
        <w:rPr>
          <w:rFonts w:ascii="Times New Roman" w:hAnsi="Times New Roman"/>
          <w:sz w:val="28"/>
          <w:szCs w:val="28"/>
        </w:rPr>
        <w:t xml:space="preserve"> ……………………….………………</w:t>
      </w:r>
    </w:p>
    <w:p w:rsidR="00FB2520" w:rsidRPr="004C20D6" w:rsidRDefault="00FB2520" w:rsidP="00FB25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Приложение ……………………………………………………………………..</w:t>
      </w:r>
    </w:p>
    <w:p w:rsidR="00FB2520" w:rsidRPr="004C20D6" w:rsidRDefault="00FB2520" w:rsidP="00FB2520">
      <w:pPr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br w:type="page"/>
      </w:r>
      <w:r w:rsidRPr="004C20D6">
        <w:rPr>
          <w:rFonts w:ascii="Times New Roman" w:hAnsi="Times New Roman"/>
          <w:sz w:val="28"/>
          <w:szCs w:val="28"/>
        </w:rPr>
        <w:lastRenderedPageBreak/>
        <w:t>1.1. Цели и задачи самостоятельной работы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Самостоятельная работа студентов является способом активного, целенаправленного приобретения студентом новых для него знаний и умений без непосредственного участия в этом процессе преподавателей. Организационные мероприятия, обеспечивающие нормальное функционирование самостоятельной работы студента, должны основываться на следующих предпосылках: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C20D6">
        <w:rPr>
          <w:rFonts w:ascii="Times New Roman" w:hAnsi="Times New Roman"/>
          <w:sz w:val="28"/>
          <w:szCs w:val="28"/>
        </w:rPr>
        <w:t xml:space="preserve"> самостоятельная работа должна быть конкретной по своей предметной направленности;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C20D6">
        <w:rPr>
          <w:rFonts w:ascii="Times New Roman" w:hAnsi="Times New Roman"/>
          <w:sz w:val="28"/>
          <w:szCs w:val="28"/>
        </w:rPr>
        <w:t xml:space="preserve">самостоятельная работа должна сопровождаться </w:t>
      </w:r>
      <w:proofErr w:type="gramStart"/>
      <w:r w:rsidRPr="004C20D6">
        <w:rPr>
          <w:rFonts w:ascii="Times New Roman" w:hAnsi="Times New Roman"/>
          <w:sz w:val="28"/>
          <w:szCs w:val="28"/>
        </w:rPr>
        <w:t>эффективным</w:t>
      </w:r>
      <w:proofErr w:type="gramEnd"/>
      <w:r w:rsidRPr="004C20D6">
        <w:rPr>
          <w:rFonts w:ascii="Times New Roman" w:hAnsi="Times New Roman"/>
          <w:sz w:val="28"/>
          <w:szCs w:val="28"/>
        </w:rPr>
        <w:t>,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непрерывным контролем и оценкой ее результатов.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 xml:space="preserve">Самостоятельная работа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C20D6">
        <w:rPr>
          <w:rFonts w:ascii="Times New Roman" w:hAnsi="Times New Roman"/>
          <w:sz w:val="28"/>
          <w:szCs w:val="28"/>
        </w:rPr>
        <w:t>особый вид совместной деятельности преподавате</w:t>
      </w:r>
      <w:r>
        <w:rPr>
          <w:rFonts w:ascii="Times New Roman" w:hAnsi="Times New Roman"/>
          <w:sz w:val="28"/>
          <w:szCs w:val="28"/>
        </w:rPr>
        <w:t xml:space="preserve">ля и </w:t>
      </w:r>
      <w:proofErr w:type="gramStart"/>
      <w:r>
        <w:rPr>
          <w:rFonts w:ascii="Times New Roman" w:hAnsi="Times New Roman"/>
          <w:sz w:val="28"/>
          <w:szCs w:val="28"/>
        </w:rPr>
        <w:t>обучаемых</w:t>
      </w:r>
      <w:proofErr w:type="gramEnd"/>
      <w:r>
        <w:rPr>
          <w:rFonts w:ascii="Times New Roman" w:hAnsi="Times New Roman"/>
          <w:sz w:val="28"/>
          <w:szCs w:val="28"/>
        </w:rPr>
        <w:t xml:space="preserve">. В данном случае </w:t>
      </w:r>
      <w:r w:rsidRPr="004C20D6">
        <w:rPr>
          <w:rFonts w:ascii="Times New Roman" w:hAnsi="Times New Roman"/>
          <w:sz w:val="28"/>
          <w:szCs w:val="28"/>
        </w:rPr>
        <w:t xml:space="preserve"> ее целью является формирование у студентов комплекса знаний, умений и навыков по дисциплине «Инженерная графика». Рациональное планирование этого вида образовательного процесса позволяет избежать дублирования в изучении дисциплины, создать оптимальные условия для овладения навыками самообучения каждым из студентов и реализации им своего внутреннего потенциала.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Организация самостоятельной работы по дисциплине «Инженерная</w:t>
      </w:r>
    </w:p>
    <w:p w:rsidR="00FB2520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 xml:space="preserve">графика» планируется в соответствии с используемыми в учебном процессе формами занятий. </w:t>
      </w:r>
    </w:p>
    <w:p w:rsidR="00FB2520" w:rsidRPr="00E009FA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4C20D6">
        <w:rPr>
          <w:rFonts w:ascii="Times New Roman" w:hAnsi="Times New Roman"/>
          <w:sz w:val="28"/>
          <w:szCs w:val="28"/>
        </w:rPr>
        <w:t>Распределение самостоятельной работы по видам приведено в табл. 1, трудоемкость каждого вида самостоятельной работы, объем в часах, объем в натуральных единицах (страницы, листы чертежных работ, количество задач и т. п.) показана в 3 и 4 столбцах, ссылки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0D6">
        <w:rPr>
          <w:rFonts w:ascii="Times New Roman" w:hAnsi="Times New Roman"/>
          <w:sz w:val="28"/>
          <w:szCs w:val="28"/>
        </w:rPr>
        <w:t>на литературу, рекомендуемую для использования в самостоятельной работе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20D6">
        <w:rPr>
          <w:rFonts w:ascii="Times New Roman" w:hAnsi="Times New Roman"/>
          <w:sz w:val="28"/>
          <w:szCs w:val="28"/>
        </w:rPr>
        <w:t xml:space="preserve"> в 5 столбце таблицы.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 xml:space="preserve">Самостоятельное изучение теоретического материала </w:t>
      </w:r>
      <w:proofErr w:type="gramStart"/>
      <w:r w:rsidRPr="004C20D6">
        <w:rPr>
          <w:rFonts w:ascii="Times New Roman" w:hAnsi="Times New Roman"/>
          <w:sz w:val="28"/>
          <w:szCs w:val="28"/>
        </w:rPr>
        <w:t>ставит</w:t>
      </w:r>
      <w:proofErr w:type="gramEnd"/>
      <w:r w:rsidRPr="004C20D6">
        <w:rPr>
          <w:rFonts w:ascii="Times New Roman" w:hAnsi="Times New Roman"/>
          <w:sz w:val="28"/>
          <w:szCs w:val="28"/>
        </w:rPr>
        <w:t xml:space="preserve"> следую-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C20D6">
        <w:rPr>
          <w:rFonts w:ascii="Times New Roman" w:hAnsi="Times New Roman"/>
          <w:sz w:val="28"/>
          <w:szCs w:val="28"/>
        </w:rPr>
        <w:t>щие</w:t>
      </w:r>
      <w:proofErr w:type="spellEnd"/>
      <w:r w:rsidRPr="004C20D6">
        <w:rPr>
          <w:rFonts w:ascii="Times New Roman" w:hAnsi="Times New Roman"/>
          <w:sz w:val="28"/>
          <w:szCs w:val="28"/>
        </w:rPr>
        <w:t xml:space="preserve"> цели: усвоение лекционного материала, изучение материала, который не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вошел в курс лекций, подготовка к промежуточному и текущему контролям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усвоения дисциплины.</w:t>
      </w:r>
      <w:r w:rsidRPr="004C20D6">
        <w:rPr>
          <w:rFonts w:ascii="Times New Roman" w:hAnsi="Times New Roman"/>
          <w:sz w:val="28"/>
          <w:szCs w:val="28"/>
        </w:rPr>
        <w:br w:type="page"/>
      </w:r>
      <w:r w:rsidRPr="004C20D6">
        <w:rPr>
          <w:rFonts w:ascii="Times New Roman" w:hAnsi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C20D6">
        <w:rPr>
          <w:rFonts w:ascii="Times New Roman" w:hAnsi="Times New Roman"/>
          <w:sz w:val="28"/>
          <w:szCs w:val="28"/>
        </w:rPr>
        <w:t>Структура и распределение видов самостоятельной работы в модуле дисциплины «Инженерная графика 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992"/>
        <w:gridCol w:w="2835"/>
        <w:gridCol w:w="1383"/>
      </w:tblGrid>
      <w:tr w:rsidR="00FB2520" w:rsidRPr="00435715" w:rsidTr="00EC04C5">
        <w:tc>
          <w:tcPr>
            <w:tcW w:w="1668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spellStart"/>
            <w:proofErr w:type="gramStart"/>
            <w:r w:rsidRPr="004C20D6">
              <w:rPr>
                <w:rFonts w:ascii="Times New Roman" w:hAnsi="Times New Roman"/>
                <w:sz w:val="24"/>
                <w:szCs w:val="24"/>
              </w:rPr>
              <w:t>дисцип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C20D6">
              <w:rPr>
                <w:rFonts w:ascii="Times New Roman" w:hAnsi="Times New Roman"/>
                <w:sz w:val="24"/>
                <w:szCs w:val="24"/>
              </w:rPr>
              <w:t>лины</w:t>
            </w:r>
            <w:proofErr w:type="spellEnd"/>
            <w:proofErr w:type="gramEnd"/>
          </w:p>
        </w:tc>
        <w:tc>
          <w:tcPr>
            <w:tcW w:w="2693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992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Объем в час.</w:t>
            </w:r>
          </w:p>
        </w:tc>
        <w:tc>
          <w:tcPr>
            <w:tcW w:w="2835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Объем в натуральных единицах</w:t>
            </w:r>
          </w:p>
        </w:tc>
        <w:tc>
          <w:tcPr>
            <w:tcW w:w="1383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FB2520" w:rsidRPr="00435715" w:rsidTr="00EC04C5">
        <w:tc>
          <w:tcPr>
            <w:tcW w:w="1668" w:type="dxa"/>
            <w:vMerge w:val="restart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Инженерная графика</w:t>
            </w:r>
          </w:p>
        </w:tc>
        <w:tc>
          <w:tcPr>
            <w:tcW w:w="2693" w:type="dxa"/>
          </w:tcPr>
          <w:p w:rsidR="00FB2520" w:rsidRPr="004C20D6" w:rsidRDefault="00FB2520" w:rsidP="00EC04C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Выполнение упражнений</w:t>
            </w:r>
          </w:p>
        </w:tc>
        <w:tc>
          <w:tcPr>
            <w:tcW w:w="992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Упражнения  в рабочей тетради</w:t>
            </w:r>
          </w:p>
        </w:tc>
        <w:tc>
          <w:tcPr>
            <w:tcW w:w="1383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2520" w:rsidRPr="00435715" w:rsidTr="00EC04C5">
        <w:tc>
          <w:tcPr>
            <w:tcW w:w="1668" w:type="dxa"/>
            <w:vMerge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B2520" w:rsidRPr="004C20D6" w:rsidRDefault="00FB2520" w:rsidP="00EC04C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Выполнение расчетно-графических работ</w:t>
            </w:r>
          </w:p>
        </w:tc>
        <w:tc>
          <w:tcPr>
            <w:tcW w:w="992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35" w:type="dxa"/>
          </w:tcPr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«Контуры детали»,</w:t>
            </w:r>
          </w:p>
          <w:p w:rsidR="00FB2520" w:rsidRPr="004C20D6" w:rsidRDefault="00FB2520" w:rsidP="00EC04C5">
            <w:pPr>
              <w:spacing w:after="0" w:line="240" w:lineRule="auto"/>
              <w:ind w:left="552"/>
              <w:rPr>
                <w:rFonts w:ascii="Times New Roman" w:hAnsi="Times New Roman"/>
                <w:sz w:val="24"/>
                <w:szCs w:val="24"/>
              </w:rPr>
            </w:pP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«Проекции модели»,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«Проекции модели с разрезом»,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«Резьбовые крепежные детали»,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«Соединения резьбовые»,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«Соединения сварные»,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«Передачи зубчатые»,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«Эскиз вала», «Эскиз корпусной детали», «Эскиз зубчатого колеса»,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Конструктивные элементы здания</w:t>
            </w:r>
            <w:r w:rsidRPr="004C20D6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Чертеж плана здания</w:t>
            </w:r>
            <w:r w:rsidRPr="004C20D6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FB2520" w:rsidRPr="004C20D6" w:rsidRDefault="00FB2520" w:rsidP="00EC04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«Схема кинематическая»</w:t>
            </w:r>
          </w:p>
        </w:tc>
        <w:tc>
          <w:tcPr>
            <w:tcW w:w="1383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2520" w:rsidRPr="00435715" w:rsidTr="00EC04C5">
        <w:tc>
          <w:tcPr>
            <w:tcW w:w="1668" w:type="dxa"/>
            <w:vMerge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B2520" w:rsidRPr="004C20D6" w:rsidRDefault="00FB2520" w:rsidP="00EC04C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Составление таблиц и схем</w:t>
            </w:r>
          </w:p>
        </w:tc>
        <w:tc>
          <w:tcPr>
            <w:tcW w:w="992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Таблицы</w:t>
            </w:r>
          </w:p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 xml:space="preserve"> в рабочей тетради</w:t>
            </w:r>
          </w:p>
        </w:tc>
        <w:tc>
          <w:tcPr>
            <w:tcW w:w="1383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2520" w:rsidRPr="00435715" w:rsidTr="00EC04C5">
        <w:tc>
          <w:tcPr>
            <w:tcW w:w="1668" w:type="dxa"/>
            <w:vMerge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after="0" w:line="360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FB2520" w:rsidRPr="004C20D6" w:rsidRDefault="00FB2520" w:rsidP="00EC04C5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2520" w:rsidRPr="004C20D6" w:rsidRDefault="00FB2520" w:rsidP="00FB25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br w:type="page"/>
      </w:r>
      <w:r w:rsidRPr="004C20D6">
        <w:rPr>
          <w:rFonts w:ascii="Times New Roman" w:hAnsi="Times New Roman"/>
          <w:sz w:val="28"/>
          <w:szCs w:val="28"/>
        </w:rPr>
        <w:lastRenderedPageBreak/>
        <w:t>1.2.Самостоятельная работа по выполнению упражнений</w:t>
      </w:r>
    </w:p>
    <w:p w:rsidR="00FB2520" w:rsidRPr="004C20D6" w:rsidRDefault="00FB2520" w:rsidP="00FB25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0"/>
          <w:szCs w:val="20"/>
        </w:rPr>
      </w:pPr>
      <w:r w:rsidRPr="004C20D6">
        <w:rPr>
          <w:rFonts w:ascii="Times New Roman" w:hAnsi="Times New Roman"/>
          <w:b/>
          <w:sz w:val="28"/>
          <w:szCs w:val="28"/>
        </w:rPr>
        <w:t>Выполнение упражнений</w:t>
      </w:r>
      <w:r w:rsidRPr="004C20D6">
        <w:rPr>
          <w:rFonts w:ascii="Times New Roman" w:hAnsi="Times New Roman"/>
          <w:sz w:val="28"/>
          <w:szCs w:val="28"/>
        </w:rPr>
        <w:t xml:space="preserve">  активизирует, закрепляет и конкретизирует теоретические знания, полученные студентами при  самостоятельном изучении специальной литературы.</w:t>
      </w:r>
    </w:p>
    <w:p w:rsidR="00FB2520" w:rsidRPr="004C20D6" w:rsidRDefault="00FB2520" w:rsidP="00FB2520">
      <w:pPr>
        <w:spacing w:line="36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Задание из рабочей тетради «Инженерная графика»  ч. 1:</w:t>
      </w:r>
    </w:p>
    <w:p w:rsidR="00FB2520" w:rsidRPr="004C20D6" w:rsidRDefault="00FB2520" w:rsidP="00FB2520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по теме  «</w:t>
      </w:r>
      <w:r w:rsidRPr="004C20D6">
        <w:rPr>
          <w:rFonts w:ascii="Times New Roman" w:hAnsi="Times New Roman"/>
          <w:snapToGrid w:val="0"/>
          <w:color w:val="000000"/>
          <w:sz w:val="28"/>
          <w:szCs w:val="28"/>
        </w:rPr>
        <w:t xml:space="preserve">Основные правила </w:t>
      </w:r>
      <w:proofErr w:type="spellStart"/>
      <w:r w:rsidRPr="004C20D6">
        <w:rPr>
          <w:rFonts w:ascii="Times New Roman" w:hAnsi="Times New Roman"/>
          <w:snapToGrid w:val="0"/>
          <w:color w:val="000000"/>
          <w:sz w:val="28"/>
          <w:szCs w:val="28"/>
        </w:rPr>
        <w:t>нанесенияразмеров</w:t>
      </w:r>
      <w:proofErr w:type="spellEnd"/>
      <w:r w:rsidRPr="004C20D6">
        <w:rPr>
          <w:rFonts w:ascii="Times New Roman" w:hAnsi="Times New Roman"/>
          <w:b/>
          <w:sz w:val="28"/>
          <w:szCs w:val="28"/>
        </w:rPr>
        <w:t xml:space="preserve">»: </w:t>
      </w:r>
      <w:r w:rsidRPr="004C20D6">
        <w:rPr>
          <w:rFonts w:ascii="Times New Roman" w:hAnsi="Times New Roman"/>
          <w:sz w:val="28"/>
          <w:szCs w:val="28"/>
        </w:rPr>
        <w:t>№4,5.</w:t>
      </w:r>
    </w:p>
    <w:p w:rsidR="00FB2520" w:rsidRPr="004C20D6" w:rsidRDefault="00FB2520" w:rsidP="00FB2520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по теме  «</w:t>
      </w:r>
      <w:r w:rsidRPr="004C20D6">
        <w:rPr>
          <w:rFonts w:ascii="Times New Roman" w:hAnsi="Times New Roman"/>
          <w:snapToGrid w:val="0"/>
          <w:color w:val="000000"/>
          <w:sz w:val="28"/>
          <w:szCs w:val="28"/>
        </w:rPr>
        <w:t>Проецирование точки и отрезка»: №8,№9.</w:t>
      </w:r>
    </w:p>
    <w:p w:rsidR="00FB2520" w:rsidRPr="004C20D6" w:rsidRDefault="00FB2520" w:rsidP="00FB2520">
      <w:pPr>
        <w:numPr>
          <w:ilvl w:val="0"/>
          <w:numId w:val="1"/>
        </w:numPr>
        <w:tabs>
          <w:tab w:val="left" w:pos="450"/>
          <w:tab w:val="center" w:pos="93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rPr>
          <w:rFonts w:ascii="Times New Roman" w:hAnsi="Times New Roman"/>
          <w:bCs/>
          <w:color w:val="000000"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по теме  «</w:t>
      </w:r>
      <w:r w:rsidRPr="004C20D6">
        <w:rPr>
          <w:rFonts w:ascii="Times New Roman" w:hAnsi="Times New Roman"/>
          <w:bCs/>
          <w:color w:val="000000"/>
          <w:sz w:val="28"/>
          <w:szCs w:val="28"/>
        </w:rPr>
        <w:t>Аксонометрические проекции: окружность и плоская фигура в изометрии»:№17,№18</w:t>
      </w:r>
    </w:p>
    <w:p w:rsidR="00FB2520" w:rsidRPr="004C20D6" w:rsidRDefault="00FB2520" w:rsidP="00FB2520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по теме  «</w:t>
      </w:r>
      <w:r w:rsidRPr="004C20D6">
        <w:rPr>
          <w:rFonts w:ascii="Times New Roman" w:hAnsi="Times New Roman"/>
          <w:snapToGrid w:val="0"/>
          <w:color w:val="000000"/>
          <w:sz w:val="28"/>
          <w:szCs w:val="28"/>
        </w:rPr>
        <w:t>Проецирование геометрических тел»:№19,№20,</w:t>
      </w:r>
    </w:p>
    <w:p w:rsidR="00FB2520" w:rsidRPr="004C20D6" w:rsidRDefault="00FB2520" w:rsidP="00FB2520">
      <w:pPr>
        <w:widowControl w:val="0"/>
        <w:numPr>
          <w:ilvl w:val="0"/>
          <w:numId w:val="1"/>
        </w:numPr>
        <w:spacing w:line="360" w:lineRule="auto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по теме  «</w:t>
      </w:r>
      <w:r w:rsidRPr="004C20D6">
        <w:rPr>
          <w:rFonts w:ascii="Times New Roman" w:hAnsi="Times New Roman"/>
          <w:snapToGrid w:val="0"/>
          <w:color w:val="000000"/>
          <w:sz w:val="28"/>
          <w:szCs w:val="28"/>
        </w:rPr>
        <w:t>Сечение цилиндра»:№22.</w:t>
      </w:r>
    </w:p>
    <w:p w:rsidR="00FB2520" w:rsidRPr="004C20D6" w:rsidRDefault="00FB2520" w:rsidP="00FB2520">
      <w:pPr>
        <w:widowControl w:val="0"/>
        <w:numPr>
          <w:ilvl w:val="0"/>
          <w:numId w:val="1"/>
        </w:numPr>
        <w:spacing w:line="360" w:lineRule="auto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 xml:space="preserve">по теме </w:t>
      </w:r>
      <w:r w:rsidRPr="004C20D6">
        <w:rPr>
          <w:rFonts w:ascii="Times New Roman" w:hAnsi="Times New Roman"/>
          <w:sz w:val="28"/>
          <w:szCs w:val="28"/>
        </w:rPr>
        <w:t>«Сечение призмы»: №21.</w:t>
      </w:r>
    </w:p>
    <w:p w:rsidR="00FB2520" w:rsidRPr="004C20D6" w:rsidRDefault="00FB2520" w:rsidP="00FB2520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по теме  «</w:t>
      </w:r>
      <w:r w:rsidRPr="004C20D6">
        <w:rPr>
          <w:rFonts w:ascii="Times New Roman" w:hAnsi="Times New Roman"/>
          <w:snapToGrid w:val="0"/>
          <w:color w:val="000000"/>
          <w:sz w:val="28"/>
          <w:szCs w:val="28"/>
        </w:rPr>
        <w:t>Изображение простых и сложных разрезов и сечений»: №27,№28.</w:t>
      </w:r>
    </w:p>
    <w:p w:rsidR="00FB2520" w:rsidRPr="004C20D6" w:rsidRDefault="00FB2520" w:rsidP="00FB2520">
      <w:pPr>
        <w:rPr>
          <w:rFonts w:ascii="Times New Roman" w:hAnsi="Times New Roman"/>
          <w:b/>
          <w:sz w:val="28"/>
          <w:szCs w:val="28"/>
        </w:rPr>
      </w:pPr>
    </w:p>
    <w:p w:rsidR="00FB2520" w:rsidRPr="004C20D6" w:rsidRDefault="00FB2520" w:rsidP="00FB25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 xml:space="preserve">1.3.Самостоятельная работа по выполнению домашних </w:t>
      </w:r>
    </w:p>
    <w:p w:rsidR="00FB2520" w:rsidRPr="004C20D6" w:rsidRDefault="00FB2520" w:rsidP="00FB25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расчетно-графических работ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NewRomanPSMT" w:hAnsi="TimesNewRomanPSMT" w:cs="TimesNewRomanPSMT"/>
          <w:sz w:val="28"/>
          <w:szCs w:val="28"/>
          <w:lang w:eastAsia="ru-RU"/>
        </w:rPr>
      </w:pPr>
      <w:r w:rsidRPr="004C20D6">
        <w:rPr>
          <w:rFonts w:ascii="TimesNewRomanPSMT" w:hAnsi="TimesNewRomanPSMT" w:cs="TimesNewRomanPSMT"/>
          <w:sz w:val="28"/>
          <w:szCs w:val="28"/>
          <w:lang w:eastAsia="ru-RU"/>
        </w:rPr>
        <w:t>Процесс изучения основных разделов дисциплины «Начертательная геометрия. Инженерная графика» предполагает выполнение большого количества домашних расчетно-графических работ. Учебные графические работы, выполненные согласно стандартам ЕСКД, оформленные альбомом с титульным листом, являются допуском студента к сдаче экзамена или зачета.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NewRomanPSMT" w:hAnsi="TimesNewRomanPSMT" w:cs="TimesNewRomanPSMT"/>
          <w:sz w:val="28"/>
          <w:szCs w:val="28"/>
          <w:lang w:eastAsia="ru-RU"/>
        </w:rPr>
      </w:pPr>
      <w:r w:rsidRPr="004C20D6">
        <w:rPr>
          <w:rFonts w:ascii="TimesNewRomanPSMT" w:hAnsi="TimesNewRomanPSMT" w:cs="TimesNewRomanPSMT"/>
          <w:sz w:val="28"/>
          <w:szCs w:val="28"/>
          <w:lang w:eastAsia="ru-RU"/>
        </w:rPr>
        <w:t>Целью выполнения работ  является развитие у студента знаний, умений и навыков, необходимых для обладания комплексом инструментальных,  и общепрофессиональных компетенций, связанных с умением моделировать, анализировать и синтезировать, планировать и организовывать, составлять и оценивать графо-геометрическую конструкторскую документацию, использовать информационные средства и технологии.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lastRenderedPageBreak/>
        <w:t>Этот вид самостоятельной работы позволяет на основе полученных ранее знаний и данной преподавателем общей идеи найти самостоятельно конкретные способы решения задачи применительно к данным условиям задания. Такая работа приводит студентов к осмысленному переносу знаний в типовые ситуации.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0"/>
          <w:szCs w:val="20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Самостоятельное выполнение расчетно-графических работ  развивает основания для дальнейшей творческой работы студента.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bCs/>
          <w:sz w:val="28"/>
          <w:szCs w:val="28"/>
          <w:lang w:eastAsia="ru-RU"/>
        </w:rPr>
        <w:t>Общие правила оформления графических работ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i/>
          <w:iCs/>
          <w:sz w:val="28"/>
          <w:szCs w:val="28"/>
          <w:lang w:eastAsia="ru-RU"/>
        </w:rPr>
        <w:t>Форматы. Масштабы</w:t>
      </w:r>
      <w:r w:rsidRPr="004C20D6">
        <w:rPr>
          <w:rFonts w:ascii="Times New Roman" w:hAnsi="Times New Roman"/>
          <w:i/>
          <w:iCs/>
          <w:sz w:val="28"/>
          <w:szCs w:val="28"/>
          <w:lang w:eastAsia="ru-RU"/>
        </w:rPr>
        <w:t xml:space="preserve">. </w:t>
      </w:r>
      <w:r w:rsidRPr="004C20D6">
        <w:rPr>
          <w:rFonts w:ascii="Times New Roman" w:hAnsi="Times New Roman"/>
          <w:sz w:val="28"/>
          <w:szCs w:val="28"/>
          <w:lang w:eastAsia="ru-RU"/>
        </w:rPr>
        <w:t>Графические работы выполняют в карандаше по индивидуальному заданию на листах чертёжной бумаги формата А3(297×420 мм) с рамкой и основной надписью, оформляемыми в соответствии с ГОСТ 2.104-68 (рис. 1.1, 1.7) в масштабе 1:1 (изображение в натуральную величину).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В индивидуальных случаях масштаб можно менять в соответствии с ГОСТ 2.302-68, а расположение формата в соответствии с ГОСТ 2.301-68.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i/>
          <w:iCs/>
          <w:sz w:val="28"/>
          <w:szCs w:val="28"/>
          <w:lang w:eastAsia="ru-RU"/>
        </w:rPr>
        <w:t>Линии</w:t>
      </w:r>
      <w:r w:rsidRPr="004C20D6">
        <w:rPr>
          <w:rFonts w:ascii="Times New Roman" w:hAnsi="Times New Roman"/>
          <w:sz w:val="28"/>
          <w:szCs w:val="28"/>
          <w:lang w:eastAsia="ru-RU"/>
        </w:rPr>
        <w:t>. ГОСТ 2.303-68 определяет начертание и основные назначения линий на чертежах.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Рекомендуемые толщина и размеры линий таковы: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толщина сплошной толстой основной линии – 1 мм;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длина штрихов штрих</w:t>
      </w:r>
      <w:r w:rsidRPr="004C20D6">
        <w:rPr>
          <w:rFonts w:ascii="Times New Roman" w:hAnsi="Times New Roman"/>
          <w:sz w:val="28"/>
          <w:szCs w:val="28"/>
          <w:lang w:eastAsia="ru-RU"/>
        </w:rPr>
        <w:t>пунктирных линий – 15 мм с промежутками между ними 3мм;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длина штрихов штриховых линий – 5 мм с промежутками между ними 2 мм.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Выбранную толщину и размеры каждого типа линий сохраняют на всём чертеже выполняемой работы.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i/>
          <w:iCs/>
          <w:sz w:val="28"/>
          <w:szCs w:val="28"/>
          <w:lang w:eastAsia="ru-RU"/>
        </w:rPr>
        <w:t>Шрифты</w:t>
      </w:r>
      <w:r w:rsidRPr="004C20D6">
        <w:rPr>
          <w:rFonts w:ascii="Times New Roman" w:hAnsi="Times New Roman"/>
          <w:i/>
          <w:iCs/>
          <w:sz w:val="28"/>
          <w:szCs w:val="28"/>
          <w:lang w:eastAsia="ru-RU"/>
        </w:rPr>
        <w:t xml:space="preserve">. </w:t>
      </w:r>
      <w:r w:rsidRPr="004C20D6">
        <w:rPr>
          <w:rFonts w:ascii="Times New Roman" w:hAnsi="Times New Roman"/>
          <w:sz w:val="28"/>
          <w:szCs w:val="28"/>
          <w:lang w:eastAsia="ru-RU"/>
        </w:rPr>
        <w:t>ГОСТ 2.304-81 определяет размеры букв и цифр шрифтов чертёжных.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Рекомендуются следующие размеры шрифтов: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 xml:space="preserve">шрифт №5 – графы 1, 1а, 2 и 3 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шрифт №3,5 – все остальные надписи и размерные числа.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i/>
          <w:iCs/>
          <w:sz w:val="28"/>
          <w:szCs w:val="28"/>
          <w:lang w:eastAsia="ru-RU"/>
        </w:rPr>
        <w:t>Форма и структура заполнения основной надписи</w:t>
      </w:r>
      <w:r w:rsidRPr="004C20D6">
        <w:rPr>
          <w:rFonts w:ascii="Times New Roman" w:hAnsi="Times New Roman"/>
          <w:iCs/>
          <w:sz w:val="28"/>
          <w:szCs w:val="28"/>
          <w:lang w:eastAsia="ru-RU"/>
        </w:rPr>
        <w:t>: ГОСТ 2.104-68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Студентам рекомендуется работу выполнять в три этапа: сначала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lastRenderedPageBreak/>
        <w:t>выполнить чертеж в тонких линиях, затем проконсультироваться с преподавателем и окончательно доработать чертёж.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4C20D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 .Расчетно-графическая работа №1 «Контуры детали»</w:t>
      </w:r>
      <w:r w:rsidRPr="004C20D6">
        <w:rPr>
          <w:rFonts w:ascii="Times New Roman" w:hAnsi="Times New Roman"/>
          <w:sz w:val="28"/>
          <w:szCs w:val="28"/>
          <w:lang w:eastAsia="ru-RU"/>
        </w:rPr>
        <w:t>.</w:t>
      </w:r>
    </w:p>
    <w:p w:rsidR="00FB2520" w:rsidRPr="004C20D6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Работа включает в себя построение контуров деталей с использованием основных приемов геометрических построений.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Построение сопряжений включает следующие этапы работы: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1. Строят множество точек (прямую или окружность), находящихся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на расстоянии радиуса сопряжения от первой из сопрягаемых линий.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2. Строят множество точек, находящихся на расстоянии радиуса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сопряжения от второй из сопрягаемых линий.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3. Определяют на пересечении множеств точек центр дуги сопряжения.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4. Определяют точки сопряжения на первой и второй сопрягаемых линиях.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5. Проводят дуги сопряжения в зоне между точками сопряжения.</w:t>
      </w:r>
    </w:p>
    <w:p w:rsidR="00FB2520" w:rsidRPr="004C20D6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Варианты индивидуальных заданий</w:t>
      </w:r>
    </w:p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1029335</wp:posOffset>
            </wp:positionV>
            <wp:extent cx="4752975" cy="6533515"/>
            <wp:effectExtent l="0" t="0" r="9525" b="635"/>
            <wp:wrapThrough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hrough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115570</wp:posOffset>
            </wp:positionV>
            <wp:extent cx="4565650" cy="6527165"/>
            <wp:effectExtent l="0" t="0" r="6350" b="6985"/>
            <wp:wrapThrough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hrough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Pr="004C20D6" w:rsidRDefault="00FB2520" w:rsidP="00FB2520">
      <w:pPr>
        <w:spacing w:line="36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4C20D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3.Расчетно-графическая работа №2 «Проекции модели»</w:t>
      </w:r>
    </w:p>
    <w:p w:rsidR="00FB2520" w:rsidRPr="004C20D6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Работа включает в себя построение проекций модели по заданной аксонометрической проекции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1. Выбор и построение главного вида модели.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2. Построение горизонтальной и профильной  проекций модели.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3. Построение аксонометрической проекции модели.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4. Нанесение размеров.</w:t>
      </w: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lastRenderedPageBreak/>
        <w:t>Варианты индивидуальных заданий</w:t>
      </w:r>
    </w:p>
    <w:p w:rsidR="00FB2520" w:rsidRDefault="00FB2520" w:rsidP="00FB2520">
      <w:r>
        <w:rPr>
          <w:noProof/>
          <w:lang w:eastAsia="ru-RU"/>
        </w:rPr>
        <w:drawing>
          <wp:anchor distT="0" distB="0" distL="6400800" distR="6400800" simplePos="0" relativeHeight="251661312" behindDoc="1" locked="0" layoutInCell="0" allowOverlap="1">
            <wp:simplePos x="0" y="0"/>
            <wp:positionH relativeFrom="margin">
              <wp:posOffset>357505</wp:posOffset>
            </wp:positionH>
            <wp:positionV relativeFrom="paragraph">
              <wp:posOffset>304165</wp:posOffset>
            </wp:positionV>
            <wp:extent cx="4738370" cy="6362700"/>
            <wp:effectExtent l="0" t="0" r="5080" b="0"/>
            <wp:wrapThrough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hrough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8148" r="7390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20" w:rsidRDefault="00FB2520" w:rsidP="00FB2520"/>
    <w:p w:rsidR="00FB2520" w:rsidRDefault="00FB2520" w:rsidP="00FB2520"/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4C20D6">
        <w:rPr>
          <w:rFonts w:ascii="Times New Roman" w:hAnsi="Times New Roman"/>
          <w:b/>
          <w:i/>
          <w:sz w:val="28"/>
          <w:szCs w:val="28"/>
        </w:rPr>
        <w:t>4</w:t>
      </w:r>
      <w:r w:rsidRPr="004C20D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.Расчетно-графическая работа №3 «Проекции модели с разрезом»</w:t>
      </w:r>
    </w:p>
    <w:p w:rsidR="00FB2520" w:rsidRPr="004C20D6" w:rsidRDefault="00FB2520" w:rsidP="00FB2520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Работа включает в себя построение проекций модели двум заданным с выполнением необходимых разрезов, а также построение аксонометрической проекции.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lastRenderedPageBreak/>
        <w:t>1. Построение  третьей проекции модели по двум данным проекциям с применением разрезов, указанных на схеме.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2. Построение изометрической проекции учебной модели с вырезом передней четверти.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Варианты индивидуальных заданий</w:t>
      </w:r>
    </w:p>
    <w:p w:rsidR="00FB2520" w:rsidRDefault="00FB2520" w:rsidP="00FB2520">
      <w:r>
        <w:rPr>
          <w:noProof/>
          <w:lang w:eastAsia="ru-RU"/>
        </w:rPr>
        <w:drawing>
          <wp:anchor distT="0" distB="0" distL="6400800" distR="6400800" simplePos="0" relativeHeight="251662336" behindDoc="1" locked="0" layoutInCell="0" allowOverlap="1">
            <wp:simplePos x="0" y="0"/>
            <wp:positionH relativeFrom="margin">
              <wp:posOffset>535305</wp:posOffset>
            </wp:positionH>
            <wp:positionV relativeFrom="paragraph">
              <wp:posOffset>-168275</wp:posOffset>
            </wp:positionV>
            <wp:extent cx="4305300" cy="6096000"/>
            <wp:effectExtent l="0" t="0" r="0" b="0"/>
            <wp:wrapThrough wrapText="bothSides">
              <wp:wrapPolygon edited="0">
                <wp:start x="0" y="0"/>
                <wp:lineTo x="0" y="21533"/>
                <wp:lineTo x="21504" y="21533"/>
                <wp:lineTo x="21504" y="0"/>
                <wp:lineTo x="0" y="0"/>
              </wp:wrapPolygon>
            </wp:wrapThrough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9" t="12971" r="9029" b="1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>
      <w:r>
        <w:rPr>
          <w:noProof/>
          <w:lang w:eastAsia="ru-RU"/>
        </w:rPr>
        <w:drawing>
          <wp:anchor distT="0" distB="0" distL="6400800" distR="6400800" simplePos="0" relativeHeight="251663360" behindDoc="1" locked="0" layoutInCell="0" allowOverlap="1">
            <wp:simplePos x="0" y="0"/>
            <wp:positionH relativeFrom="margin">
              <wp:posOffset>331470</wp:posOffset>
            </wp:positionH>
            <wp:positionV relativeFrom="paragraph">
              <wp:posOffset>495300</wp:posOffset>
            </wp:positionV>
            <wp:extent cx="4951730" cy="6887845"/>
            <wp:effectExtent l="0" t="0" r="1270" b="8255"/>
            <wp:wrapThrough wrapText="bothSides">
              <wp:wrapPolygon edited="0">
                <wp:start x="0" y="0"/>
                <wp:lineTo x="0" y="21566"/>
                <wp:lineTo x="21522" y="21566"/>
                <wp:lineTo x="21522" y="0"/>
                <wp:lineTo x="0" y="0"/>
              </wp:wrapPolygon>
            </wp:wrapThrough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7195" r="8023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/>
    <w:p w:rsidR="00FB2520" w:rsidRDefault="00FB2520" w:rsidP="00FB2520">
      <w:r>
        <w:rPr>
          <w:noProof/>
          <w:lang w:eastAsia="ru-RU"/>
        </w:rPr>
        <w:drawing>
          <wp:anchor distT="0" distB="0" distL="6400800" distR="6400800" simplePos="0" relativeHeight="251664384" behindDoc="1" locked="0" layoutInCell="0" allowOverlap="1">
            <wp:simplePos x="0" y="0"/>
            <wp:positionH relativeFrom="margin">
              <wp:posOffset>212725</wp:posOffset>
            </wp:positionH>
            <wp:positionV relativeFrom="paragraph">
              <wp:posOffset>101600</wp:posOffset>
            </wp:positionV>
            <wp:extent cx="5193665" cy="6887845"/>
            <wp:effectExtent l="0" t="0" r="6985" b="8255"/>
            <wp:wrapThrough wrapText="bothSides">
              <wp:wrapPolygon edited="0">
                <wp:start x="0" y="0"/>
                <wp:lineTo x="0" y="21566"/>
                <wp:lineTo x="21550" y="21566"/>
                <wp:lineTo x="21550" y="0"/>
                <wp:lineTo x="0" y="0"/>
              </wp:wrapPolygon>
            </wp:wrapThrough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9938" r="4796" b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20" w:rsidRPr="00B3733A" w:rsidRDefault="00FB2520" w:rsidP="00FB252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B3733A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Расчетно-графическая работа №4 «Резьбовые крепежные детали»</w:t>
      </w:r>
    </w:p>
    <w:p w:rsidR="00FB2520" w:rsidRPr="004C20D6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Работа включает в себя расчет и построение стандартного болтового или шпилечного соединения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lastRenderedPageBreak/>
        <w:t>1. Расчет геометрических параметров болтового или шпилечного соединения.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2. Вычерчивание резьбового соединения.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FB2520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Варианты индивидуальных заданий</w:t>
      </w: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  <w:sectPr w:rsidR="00FB2520" w:rsidRPr="004C20D6" w:rsidSect="005854D5">
          <w:pgSz w:w="11906" w:h="16838"/>
          <w:pgMar w:top="1134" w:right="566" w:bottom="426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2555240</wp:posOffset>
            </wp:positionV>
            <wp:extent cx="6121400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510" y="21185"/>
                <wp:lineTo x="21510" y="0"/>
                <wp:lineTo x="0" y="0"/>
              </wp:wrapPolygon>
            </wp:wrapThrough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193040</wp:posOffset>
            </wp:positionV>
            <wp:extent cx="6121400" cy="2489200"/>
            <wp:effectExtent l="0" t="0" r="0" b="6350"/>
            <wp:wrapThrough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hrough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4C20D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6.Расчетно-графическая работа №5 «Соединения резьбовые»</w:t>
      </w:r>
    </w:p>
    <w:p w:rsidR="00FB2520" w:rsidRPr="004C20D6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Работа включает в себя расчет и построение крепежных резьбовых  деталей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1. Расчет геометрических параметров</w:t>
      </w:r>
      <w:r w:rsidRPr="004C20D6">
        <w:rPr>
          <w:rFonts w:ascii="Times New Roman" w:hAnsi="Times New Roman"/>
          <w:sz w:val="28"/>
          <w:szCs w:val="28"/>
        </w:rPr>
        <w:t xml:space="preserve"> крепежных резьбовых  деталей</w:t>
      </w:r>
      <w:r w:rsidRPr="004C20D6">
        <w:rPr>
          <w:rFonts w:ascii="Times New Roman" w:hAnsi="Times New Roman"/>
          <w:sz w:val="28"/>
          <w:szCs w:val="28"/>
          <w:lang w:eastAsia="ru-RU"/>
        </w:rPr>
        <w:t>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2. Вычерчивание резьбовых соединений в масштабе 2:1 упрощенно  по ГОСТ 2.315-68.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FB2520" w:rsidRPr="004C20D6" w:rsidRDefault="00FB2520" w:rsidP="00FB252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6400800" distR="6400800" simplePos="0" relativeHeight="251667456" behindDoc="1" locked="0" layoutInCell="0" allowOverlap="1">
            <wp:simplePos x="0" y="0"/>
            <wp:positionH relativeFrom="margin">
              <wp:posOffset>-3175</wp:posOffset>
            </wp:positionH>
            <wp:positionV relativeFrom="paragraph">
              <wp:posOffset>312420</wp:posOffset>
            </wp:positionV>
            <wp:extent cx="5422265" cy="2804795"/>
            <wp:effectExtent l="0" t="0" r="6985" b="0"/>
            <wp:wrapThrough wrapText="bothSides">
              <wp:wrapPolygon edited="0">
                <wp:start x="0" y="0"/>
                <wp:lineTo x="0" y="21419"/>
                <wp:lineTo x="21552" y="21419"/>
                <wp:lineTo x="21552" y="0"/>
                <wp:lineTo x="0" y="0"/>
              </wp:wrapPolygon>
            </wp:wrapThrough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12596" r="6787" b="5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0D6">
        <w:rPr>
          <w:rFonts w:ascii="Times New Roman" w:hAnsi="Times New Roman"/>
          <w:b/>
          <w:sz w:val="28"/>
          <w:szCs w:val="28"/>
        </w:rPr>
        <w:t>Варианты индивидуальных заданий</w:t>
      </w:r>
    </w:p>
    <w:p w:rsidR="00FB2520" w:rsidRDefault="00FB2520" w:rsidP="00FB252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2445"/>
        <w:gridCol w:w="2445"/>
        <w:gridCol w:w="2445"/>
      </w:tblGrid>
      <w:tr w:rsidR="00FB2520" w:rsidRPr="00435715" w:rsidTr="00EC04C5">
        <w:tc>
          <w:tcPr>
            <w:tcW w:w="1420" w:type="dxa"/>
            <w:vMerge w:val="restart"/>
          </w:tcPr>
          <w:p w:rsidR="00FB2520" w:rsidRPr="004C20D6" w:rsidRDefault="00FB2520" w:rsidP="00EC04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7335" w:type="dxa"/>
            <w:gridSpan w:val="3"/>
          </w:tcPr>
          <w:p w:rsidR="00FB2520" w:rsidRPr="004C20D6" w:rsidRDefault="00FB2520" w:rsidP="00EC04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0D6">
              <w:rPr>
                <w:rFonts w:ascii="Times New Roman" w:hAnsi="Times New Roman"/>
                <w:sz w:val="24"/>
                <w:szCs w:val="24"/>
              </w:rPr>
              <w:t>Условное обозначение</w:t>
            </w:r>
          </w:p>
        </w:tc>
      </w:tr>
      <w:tr w:rsidR="00FB2520" w:rsidRPr="00435715" w:rsidTr="00EC04C5">
        <w:tc>
          <w:tcPr>
            <w:tcW w:w="1420" w:type="dxa"/>
            <w:vMerge/>
          </w:tcPr>
          <w:p w:rsidR="00FB2520" w:rsidRPr="004C20D6" w:rsidRDefault="00FB2520" w:rsidP="00EC04C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болт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винт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шпилька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М12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4C20D6"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М12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М12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4C20D6"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М8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4C20D6"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М12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М12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4C20D6"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М8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М12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М8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М12</w:t>
            </w:r>
          </w:p>
        </w:tc>
      </w:tr>
      <w:tr w:rsidR="00FB2520" w:rsidRPr="00435715" w:rsidTr="00EC04C5">
        <w:tc>
          <w:tcPr>
            <w:tcW w:w="1420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М10</w:t>
            </w:r>
          </w:p>
        </w:tc>
        <w:tc>
          <w:tcPr>
            <w:tcW w:w="2445" w:type="dxa"/>
          </w:tcPr>
          <w:p w:rsidR="00FB2520" w:rsidRPr="004C20D6" w:rsidRDefault="00FB2520" w:rsidP="00EC04C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C20D6">
              <w:rPr>
                <w:rFonts w:ascii="Times New Roman" w:hAnsi="Times New Roman"/>
                <w:sz w:val="28"/>
                <w:szCs w:val="28"/>
              </w:rPr>
              <w:t>М8</w:t>
            </w:r>
          </w:p>
        </w:tc>
      </w:tr>
    </w:tbl>
    <w:p w:rsidR="00FB2520" w:rsidRPr="004C20D6" w:rsidRDefault="00FB2520" w:rsidP="00FB252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B2520" w:rsidRPr="004C20D6" w:rsidSect="005854D5">
          <w:pgSz w:w="11906" w:h="16838"/>
          <w:pgMar w:top="1134" w:right="566" w:bottom="426" w:left="1701" w:header="708" w:footer="708" w:gutter="0"/>
          <w:cols w:space="708"/>
          <w:docGrid w:linePitch="360"/>
        </w:sect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4C20D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7.Расчетно-графическая работа №6 «Соединения сварные»</w:t>
      </w:r>
    </w:p>
    <w:p w:rsidR="00FB2520" w:rsidRPr="004C20D6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Работа включает в себя вычерчивание сварного соединения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1. Выполнение эскизов деталей, входящих в сварное соединение.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2. Присвоение каждой детали названия и обозначения.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6400800" distR="6400800" simplePos="0" relativeHeight="251668480" behindDoc="1" locked="0" layoutInCell="0" allowOverlap="1">
            <wp:simplePos x="0" y="0"/>
            <wp:positionH relativeFrom="margin">
              <wp:posOffset>494665</wp:posOffset>
            </wp:positionH>
            <wp:positionV relativeFrom="paragraph">
              <wp:posOffset>1158875</wp:posOffset>
            </wp:positionV>
            <wp:extent cx="5104130" cy="6934200"/>
            <wp:effectExtent l="0" t="0" r="1270" b="0"/>
            <wp:wrapThrough wrapText="bothSides">
              <wp:wrapPolygon edited="0">
                <wp:start x="0" y="0"/>
                <wp:lineTo x="0" y="21541"/>
                <wp:lineTo x="21525" y="21541"/>
                <wp:lineTo x="21525" y="0"/>
                <wp:lineTo x="0" y="0"/>
              </wp:wrapPolygon>
            </wp:wrapThrough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4549" r="3447" b="1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0D6">
        <w:rPr>
          <w:rFonts w:ascii="Times New Roman" w:hAnsi="Times New Roman"/>
          <w:sz w:val="28"/>
          <w:szCs w:val="28"/>
          <w:lang w:eastAsia="ru-RU"/>
        </w:rPr>
        <w:t>3. Выполнение сборочного чертежа с нанесением условных обозначений сварных швов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4. Заполнение спецификации</w:t>
      </w:r>
    </w:p>
    <w:p w:rsidR="00FB2520" w:rsidRDefault="00FB2520" w:rsidP="00FB2520">
      <w:r w:rsidRPr="004C20D6">
        <w:rPr>
          <w:rFonts w:ascii="Times New Roman" w:hAnsi="Times New Roman"/>
          <w:b/>
          <w:sz w:val="28"/>
          <w:szCs w:val="28"/>
        </w:rPr>
        <w:t>Варианты индивидуальных заданий</w:t>
      </w:r>
    </w:p>
    <w:p w:rsidR="00FB2520" w:rsidRDefault="00FB2520" w:rsidP="00FB2520">
      <w:pPr>
        <w:rPr>
          <w:rFonts w:ascii="Times New Roman" w:hAnsi="Times New Roman"/>
          <w:b/>
          <w:sz w:val="28"/>
          <w:szCs w:val="28"/>
        </w:rPr>
      </w:pP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</w:rPr>
        <w:t>8</w:t>
      </w:r>
      <w:r w:rsidRPr="004C20D6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.Расчетно-графическая работа №7 «Передачи зубчатые»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FB2520" w:rsidRPr="004C20D6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C20D6">
        <w:rPr>
          <w:rFonts w:ascii="Times New Roman" w:hAnsi="Times New Roman"/>
          <w:sz w:val="28"/>
          <w:szCs w:val="28"/>
        </w:rPr>
        <w:t>Работа включает в себя расчет и выполнение чертежа зубчатой передачи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20D6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1. Выполнение расчета основных элементов передачи.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2. Вычерчивание упрощенного изображения зубчатой передачи в соответствии с ГОСТ 2.402-68.</w:t>
      </w:r>
    </w:p>
    <w:p w:rsidR="00FB2520" w:rsidRPr="004C20D6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C20D6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FB2520" w:rsidRDefault="00FB2520" w:rsidP="00FB252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C20D6">
        <w:rPr>
          <w:rFonts w:ascii="Times New Roman" w:hAnsi="Times New Roman"/>
          <w:b/>
          <w:sz w:val="28"/>
          <w:szCs w:val="28"/>
        </w:rPr>
        <w:t>Варианты индивидуальных заданий</w:t>
      </w:r>
    </w:p>
    <w:p w:rsidR="00FB2520" w:rsidRDefault="00FB2520" w:rsidP="00FB252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6400800" distR="6400800" simplePos="0" relativeHeight="251669504" behindDoc="1" locked="0" layoutInCell="0" allowOverlap="1">
            <wp:simplePos x="0" y="0"/>
            <wp:positionH relativeFrom="margin">
              <wp:posOffset>231775</wp:posOffset>
            </wp:positionH>
            <wp:positionV relativeFrom="paragraph">
              <wp:posOffset>219075</wp:posOffset>
            </wp:positionV>
            <wp:extent cx="5194935" cy="5471795"/>
            <wp:effectExtent l="0" t="0" r="5715" b="0"/>
            <wp:wrapThrough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hrough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6056" r="4176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520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B2520" w:rsidRPr="004753FE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753F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9.Расчетно-графическая работа №8 «Эскиз вала, зубчатого колеса, корпусной детали»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FB2520" w:rsidRPr="004753FE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Работа включает в себя вычерчивание эскиза детали, выданной преподавателем.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753F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753FE">
        <w:rPr>
          <w:rFonts w:ascii="Times New Roman" w:hAnsi="Times New Roman"/>
          <w:sz w:val="28"/>
          <w:szCs w:val="28"/>
          <w:lang w:eastAsia="ru-RU"/>
        </w:rPr>
        <w:t>1. Выбор масштаба, формата, компоновки чертежа.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753FE">
        <w:rPr>
          <w:rFonts w:ascii="Times New Roman" w:hAnsi="Times New Roman"/>
          <w:sz w:val="28"/>
          <w:szCs w:val="28"/>
          <w:lang w:eastAsia="ru-RU"/>
        </w:rPr>
        <w:t>2. Выполнение эскиза в соответствии с требованиями ЕСКД.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753FE">
        <w:rPr>
          <w:rFonts w:ascii="Times New Roman" w:hAnsi="Times New Roman"/>
          <w:sz w:val="28"/>
          <w:szCs w:val="28"/>
          <w:lang w:eastAsia="ru-RU"/>
        </w:rPr>
        <w:t>3. Нанесение на эскиз размеров, требований точности и шероховатости.</w:t>
      </w:r>
    </w:p>
    <w:p w:rsidR="00FB2520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753FE">
        <w:rPr>
          <w:rFonts w:ascii="Times New Roman" w:hAnsi="Times New Roman"/>
          <w:sz w:val="28"/>
          <w:szCs w:val="28"/>
          <w:lang w:eastAsia="ru-RU"/>
        </w:rPr>
        <w:t>4. Заполнение основной надписи чертежа.</w:t>
      </w:r>
    </w:p>
    <w:p w:rsidR="00FB2520" w:rsidRDefault="00FB2520" w:rsidP="00FB252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FB2520" w:rsidRDefault="00FB2520" w:rsidP="00FB2520">
      <w:pPr>
        <w:framePr w:hSpace="180" w:wrap="around" w:vAnchor="text" w:hAnchor="margin" w:xAlign="center" w:y="124"/>
        <w:ind w:left="60"/>
        <w:rPr>
          <w:sz w:val="24"/>
        </w:rPr>
      </w:pPr>
    </w:p>
    <w:p w:rsidR="00FB2520" w:rsidRDefault="00FB2520" w:rsidP="00FB2520">
      <w:pPr>
        <w:framePr w:hSpace="180" w:wrap="around" w:vAnchor="text" w:hAnchor="margin" w:xAlign="center" w:y="124"/>
        <w:ind w:left="60"/>
        <w:rPr>
          <w:sz w:val="24"/>
        </w:rPr>
      </w:pPr>
    </w:p>
    <w:p w:rsidR="00FB2520" w:rsidRDefault="00FB2520" w:rsidP="00FB2520">
      <w:pPr>
        <w:framePr w:hSpace="180" w:wrap="around" w:vAnchor="text" w:hAnchor="margin" w:xAlign="center" w:y="124"/>
        <w:rPr>
          <w:sz w:val="24"/>
        </w:rPr>
      </w:pPr>
    </w:p>
    <w:p w:rsidR="00FB2520" w:rsidRPr="0075366A" w:rsidRDefault="00FB2520" w:rsidP="00FB2520">
      <w:pPr>
        <w:framePr w:hSpace="180" w:wrap="around" w:vAnchor="text" w:hAnchor="margin" w:xAlign="center" w:y="124"/>
        <w:jc w:val="center"/>
        <w:rPr>
          <w:b/>
          <w:sz w:val="24"/>
          <w:szCs w:val="24"/>
        </w:rPr>
      </w:pPr>
    </w:p>
    <w:p w:rsidR="00FB2520" w:rsidRDefault="00FB2520" w:rsidP="00FB2520">
      <w:pPr>
        <w:framePr w:hSpace="180" w:wrap="around" w:vAnchor="text" w:hAnchor="margin" w:xAlign="center" w:y="124"/>
      </w:pPr>
    </w:p>
    <w:p w:rsidR="00FB2520" w:rsidRPr="004753FE" w:rsidRDefault="00FB2520" w:rsidP="00FB252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10</w:t>
      </w:r>
      <w:r w:rsidRPr="004753F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.Расчетно-графическая работа №11 «Схема кинематическая»</w:t>
      </w:r>
    </w:p>
    <w:p w:rsidR="00FB2520" w:rsidRPr="004753FE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</w:p>
    <w:p w:rsidR="00FB2520" w:rsidRPr="004753FE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Работа включает в себя вычерчивание кинематической схемы механизма станка.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753F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FB2520" w:rsidRPr="004753FE" w:rsidRDefault="00FB2520" w:rsidP="00FB2520">
      <w:pPr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753FE">
        <w:rPr>
          <w:rFonts w:ascii="Times New Roman" w:hAnsi="Times New Roman"/>
          <w:sz w:val="28"/>
          <w:szCs w:val="28"/>
          <w:lang w:eastAsia="ru-RU"/>
        </w:rPr>
        <w:t>Чтение кинематической схемы.</w:t>
      </w:r>
    </w:p>
    <w:p w:rsidR="00FB2520" w:rsidRPr="004753FE" w:rsidRDefault="00FB2520" w:rsidP="00FB2520">
      <w:pPr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753FE">
        <w:rPr>
          <w:rFonts w:ascii="Times New Roman" w:hAnsi="Times New Roman"/>
          <w:sz w:val="28"/>
          <w:szCs w:val="28"/>
          <w:lang w:eastAsia="ru-RU"/>
        </w:rPr>
        <w:t>Вычерчивание кинематической схемы механизма.</w:t>
      </w:r>
    </w:p>
    <w:p w:rsidR="00FB2520" w:rsidRPr="004753FE" w:rsidRDefault="00FB2520" w:rsidP="00FB2520">
      <w:pPr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753FE">
        <w:rPr>
          <w:rFonts w:ascii="Times New Roman" w:hAnsi="Times New Roman"/>
          <w:sz w:val="28"/>
          <w:szCs w:val="28"/>
          <w:lang w:eastAsia="ru-RU"/>
        </w:rPr>
        <w:t>Нанесение условных обозначений.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 xml:space="preserve">1.3. Самостоятельная работа по составлению таблиц 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B2520" w:rsidRPr="004753FE" w:rsidRDefault="00FB2520" w:rsidP="00FB2520">
      <w:pPr>
        <w:ind w:firstLine="851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 xml:space="preserve">Таблица </w:t>
      </w:r>
      <w:r w:rsidRPr="004753FE">
        <w:rPr>
          <w:rFonts w:ascii="Times New Roman" w:hAnsi="Times New Roman"/>
          <w:b/>
          <w:sz w:val="28"/>
          <w:szCs w:val="28"/>
        </w:rPr>
        <w:t xml:space="preserve">- </w:t>
      </w:r>
      <w:r w:rsidRPr="004753FE">
        <w:rPr>
          <w:rFonts w:ascii="Times New Roman" w:hAnsi="Times New Roman"/>
          <w:sz w:val="28"/>
          <w:szCs w:val="28"/>
        </w:rPr>
        <w:t>краткое систематизированное изложение фактов на предложенную тему.</w:t>
      </w:r>
    </w:p>
    <w:p w:rsidR="00FB2520" w:rsidRPr="004753FE" w:rsidRDefault="00FB2520" w:rsidP="00FB2520">
      <w:pPr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Алгоритм составления таблицы:</w:t>
      </w:r>
    </w:p>
    <w:p w:rsidR="00FB2520" w:rsidRPr="004753FE" w:rsidRDefault="00FB2520" w:rsidP="00FB2520">
      <w:pPr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lastRenderedPageBreak/>
        <w:t>1.Подберите необходимый материал, раскрывающий содержание таблицы.</w:t>
      </w:r>
    </w:p>
    <w:p w:rsidR="00FB2520" w:rsidRPr="004753FE" w:rsidRDefault="00FB2520" w:rsidP="00FB2520">
      <w:pPr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2.Систематизируйте материал по основным разделам.</w:t>
      </w:r>
    </w:p>
    <w:p w:rsidR="00FB2520" w:rsidRPr="004753FE" w:rsidRDefault="00FB2520" w:rsidP="00FB2520">
      <w:pPr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3.Выберите основные понятия, которые должны передать суть таблицы.</w:t>
      </w:r>
    </w:p>
    <w:p w:rsidR="00FB2520" w:rsidRPr="004753FE" w:rsidRDefault="00FB2520" w:rsidP="00FB2520">
      <w:pPr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4.Заполните таблицу, стараясь максимально раскрыть её содержание</w:t>
      </w:r>
    </w:p>
    <w:p w:rsidR="00FB2520" w:rsidRPr="004753FE" w:rsidRDefault="00FB2520" w:rsidP="00FB2520">
      <w:pPr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5.Внимательно просмотрите материал</w:t>
      </w:r>
      <w:proofErr w:type="gramStart"/>
      <w:r w:rsidRPr="004753F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753FE">
        <w:rPr>
          <w:rFonts w:ascii="Times New Roman" w:hAnsi="Times New Roman"/>
          <w:sz w:val="28"/>
          <w:szCs w:val="28"/>
        </w:rPr>
        <w:t>исправьте ошибки, и по необходимости дополните таблицу.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Программой дисциплины «Инженерная графика» предусмотрено заполнение таблиц по следующим темам:</w:t>
      </w:r>
    </w:p>
    <w:p w:rsidR="00FB2520" w:rsidRPr="004753FE" w:rsidRDefault="00FB2520" w:rsidP="00FB2520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Линии чертежа</w:t>
      </w:r>
      <w:r>
        <w:rPr>
          <w:rFonts w:ascii="Times New Roman" w:hAnsi="Times New Roman"/>
          <w:sz w:val="28"/>
          <w:szCs w:val="28"/>
        </w:rPr>
        <w:t>.</w:t>
      </w:r>
    </w:p>
    <w:p w:rsidR="00FB2520" w:rsidRPr="004753FE" w:rsidRDefault="00FB2520" w:rsidP="00FB2520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Условные знаки и надписи</w:t>
      </w:r>
      <w:r>
        <w:rPr>
          <w:rFonts w:ascii="Times New Roman" w:hAnsi="Times New Roman"/>
          <w:sz w:val="28"/>
          <w:szCs w:val="28"/>
        </w:rPr>
        <w:t>.</w:t>
      </w:r>
    </w:p>
    <w:p w:rsidR="00FB2520" w:rsidRPr="004753FE" w:rsidRDefault="00FB2520" w:rsidP="00FB2520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Условное обозначение резьб</w:t>
      </w:r>
      <w:r>
        <w:rPr>
          <w:rFonts w:ascii="Times New Roman" w:hAnsi="Times New Roman"/>
          <w:sz w:val="28"/>
          <w:szCs w:val="28"/>
        </w:rPr>
        <w:t>ы.</w:t>
      </w:r>
    </w:p>
    <w:p w:rsidR="00FB2520" w:rsidRPr="004753FE" w:rsidRDefault="00FB2520" w:rsidP="00FB2520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Студенты должны составить таблицы  в рабочей тетради по Инженерной графике:  часть 1:№</w:t>
      </w:r>
      <w:r>
        <w:rPr>
          <w:rFonts w:ascii="Times New Roman" w:hAnsi="Times New Roman"/>
          <w:sz w:val="28"/>
          <w:szCs w:val="28"/>
        </w:rPr>
        <w:t>1, №4,5, №10.</w:t>
      </w:r>
    </w:p>
    <w:p w:rsidR="00FB2520" w:rsidRPr="004753FE" w:rsidRDefault="00FB2520" w:rsidP="00FB25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br w:type="page"/>
      </w:r>
      <w:r w:rsidRPr="004753FE">
        <w:rPr>
          <w:rFonts w:ascii="Times New Roman" w:hAnsi="Times New Roman"/>
          <w:b/>
          <w:bCs/>
          <w:sz w:val="28"/>
          <w:szCs w:val="28"/>
        </w:rPr>
        <w:lastRenderedPageBreak/>
        <w:t xml:space="preserve">Перечень рекомендуемых учебных изданий, Интернет-ресурсов, </w:t>
      </w:r>
    </w:p>
    <w:p w:rsidR="00FB2520" w:rsidRPr="004753FE" w:rsidRDefault="00FB2520" w:rsidP="00FB25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753FE">
        <w:rPr>
          <w:rFonts w:ascii="Times New Roman" w:hAnsi="Times New Roman"/>
          <w:b/>
          <w:bCs/>
          <w:sz w:val="28"/>
          <w:szCs w:val="28"/>
        </w:rPr>
        <w:t>дополнительной литературы</w:t>
      </w:r>
    </w:p>
    <w:p w:rsidR="00FB2520" w:rsidRPr="004753FE" w:rsidRDefault="00FB2520" w:rsidP="00FB25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B2520" w:rsidRPr="004753FE" w:rsidRDefault="00FB2520" w:rsidP="00FB25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753FE">
        <w:rPr>
          <w:rFonts w:ascii="Times New Roman" w:hAnsi="Times New Roman"/>
          <w:bCs/>
          <w:sz w:val="28"/>
          <w:szCs w:val="28"/>
        </w:rPr>
        <w:t xml:space="preserve">Основные источники: </w:t>
      </w:r>
    </w:p>
    <w:p w:rsidR="00FB2520" w:rsidRPr="004753FE" w:rsidRDefault="00FB2520" w:rsidP="00FB2520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Боголюбов С.К. Черчение. - М.: Машиностроение, 2000. – 336 с.</w:t>
      </w:r>
    </w:p>
    <w:p w:rsidR="00FB2520" w:rsidRDefault="00FB2520" w:rsidP="00FB2520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Боголюбов С.К. Индивидуальные задания по курсу черчения. - М.: Высшая школа,1989. – 368 с.</w:t>
      </w:r>
    </w:p>
    <w:p w:rsidR="00FB2520" w:rsidRPr="004753FE" w:rsidRDefault="00FB2520" w:rsidP="00FB2520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Миронова</w:t>
      </w:r>
      <w:r>
        <w:rPr>
          <w:rFonts w:ascii="Times New Roman" w:hAnsi="Times New Roman"/>
          <w:sz w:val="28"/>
          <w:szCs w:val="28"/>
        </w:rPr>
        <w:t xml:space="preserve"> Р.С., </w:t>
      </w:r>
      <w:r w:rsidRPr="004753FE">
        <w:rPr>
          <w:rFonts w:ascii="Times New Roman" w:hAnsi="Times New Roman"/>
          <w:sz w:val="28"/>
          <w:szCs w:val="28"/>
        </w:rPr>
        <w:t>Миронов</w:t>
      </w:r>
      <w:r>
        <w:rPr>
          <w:rFonts w:ascii="Times New Roman" w:hAnsi="Times New Roman"/>
          <w:sz w:val="28"/>
          <w:szCs w:val="28"/>
        </w:rPr>
        <w:t xml:space="preserve"> Б.Г..</w:t>
      </w:r>
      <w:r w:rsidRPr="004753FE">
        <w:rPr>
          <w:rFonts w:ascii="Times New Roman" w:hAnsi="Times New Roman"/>
          <w:sz w:val="28"/>
          <w:szCs w:val="28"/>
        </w:rPr>
        <w:t xml:space="preserve"> Инженерная графика. -  М.: Высшая школа, 2001-288с.</w:t>
      </w:r>
    </w:p>
    <w:p w:rsidR="00FB2520" w:rsidRPr="004753FE" w:rsidRDefault="00FB2520" w:rsidP="00FB2520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 xml:space="preserve">Фетисов </w:t>
      </w:r>
      <w:r>
        <w:rPr>
          <w:rFonts w:ascii="Times New Roman" w:hAnsi="Times New Roman"/>
          <w:sz w:val="28"/>
          <w:szCs w:val="28"/>
        </w:rPr>
        <w:t xml:space="preserve">В.М. </w:t>
      </w:r>
      <w:r w:rsidRPr="004753FE">
        <w:rPr>
          <w:rFonts w:ascii="Times New Roman" w:hAnsi="Times New Roman"/>
          <w:sz w:val="28"/>
          <w:szCs w:val="28"/>
        </w:rPr>
        <w:t>Основы инженерной графики. -  Ростов-на-Дону</w:t>
      </w:r>
      <w:proofErr w:type="gramStart"/>
      <w:r w:rsidRPr="004753FE">
        <w:rPr>
          <w:rFonts w:ascii="Times New Roman" w:hAnsi="Times New Roman"/>
          <w:sz w:val="28"/>
          <w:szCs w:val="28"/>
        </w:rPr>
        <w:t xml:space="preserve">,: </w:t>
      </w:r>
      <w:proofErr w:type="gramEnd"/>
      <w:r w:rsidRPr="004753FE">
        <w:rPr>
          <w:rFonts w:ascii="Times New Roman" w:hAnsi="Times New Roman"/>
          <w:sz w:val="28"/>
          <w:szCs w:val="28"/>
        </w:rPr>
        <w:t>Высшее образование,  «Феникс», 2004.</w:t>
      </w:r>
    </w:p>
    <w:p w:rsidR="00FB2520" w:rsidRDefault="00FB2520" w:rsidP="00FB2520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753FE">
        <w:rPr>
          <w:rFonts w:ascii="Times New Roman" w:hAnsi="Times New Roman"/>
          <w:sz w:val="28"/>
          <w:szCs w:val="28"/>
        </w:rPr>
        <w:t>Чекмарёв</w:t>
      </w:r>
      <w:proofErr w:type="spellEnd"/>
      <w:r>
        <w:rPr>
          <w:rFonts w:ascii="Times New Roman" w:hAnsi="Times New Roman"/>
          <w:sz w:val="28"/>
          <w:szCs w:val="28"/>
        </w:rPr>
        <w:t xml:space="preserve"> А.А.</w:t>
      </w:r>
      <w:r w:rsidRPr="004753FE">
        <w:rPr>
          <w:rFonts w:ascii="Times New Roman" w:hAnsi="Times New Roman"/>
          <w:sz w:val="28"/>
          <w:szCs w:val="28"/>
        </w:rPr>
        <w:t xml:space="preserve"> Инженерная графика. -  М</w:t>
      </w:r>
      <w:proofErr w:type="gramStart"/>
      <w:r w:rsidRPr="004753FE">
        <w:rPr>
          <w:rFonts w:ascii="Times New Roman" w:hAnsi="Times New Roman"/>
          <w:sz w:val="28"/>
          <w:szCs w:val="28"/>
        </w:rPr>
        <w:t xml:space="preserve">,: </w:t>
      </w:r>
      <w:proofErr w:type="gramEnd"/>
      <w:r w:rsidRPr="004753FE">
        <w:rPr>
          <w:rFonts w:ascii="Times New Roman" w:hAnsi="Times New Roman"/>
          <w:sz w:val="28"/>
          <w:szCs w:val="28"/>
        </w:rPr>
        <w:t>Высшая школа, 2003.</w:t>
      </w:r>
    </w:p>
    <w:p w:rsidR="00FB2520" w:rsidRPr="004753FE" w:rsidRDefault="00FB2520" w:rsidP="00FB2520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B2520" w:rsidRPr="004753FE" w:rsidRDefault="00FB2520" w:rsidP="00FB2520">
      <w:pPr>
        <w:spacing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bCs/>
          <w:sz w:val="28"/>
          <w:szCs w:val="28"/>
        </w:rPr>
        <w:t xml:space="preserve">Дополнительные источники: </w:t>
      </w:r>
    </w:p>
    <w:p w:rsidR="00FB2520" w:rsidRPr="004753FE" w:rsidRDefault="00FB2520" w:rsidP="00FB2520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753FE">
        <w:rPr>
          <w:rFonts w:ascii="Times New Roman" w:hAnsi="Times New Roman"/>
          <w:sz w:val="28"/>
          <w:szCs w:val="28"/>
        </w:rPr>
        <w:t>Вышнепольский</w:t>
      </w:r>
      <w:proofErr w:type="spellEnd"/>
      <w:r w:rsidRPr="004753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3FE">
        <w:rPr>
          <w:rFonts w:ascii="Times New Roman" w:hAnsi="Times New Roman"/>
          <w:sz w:val="28"/>
          <w:szCs w:val="28"/>
        </w:rPr>
        <w:t>С.А. Техническое черчение с элементами программированного обучения.- М.:Машиностроение,1984.-240 с.</w:t>
      </w:r>
    </w:p>
    <w:p w:rsidR="00FB2520" w:rsidRPr="004753FE" w:rsidRDefault="00FB2520" w:rsidP="00FB2520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Годик</w:t>
      </w:r>
      <w:r>
        <w:rPr>
          <w:rFonts w:ascii="Times New Roman" w:hAnsi="Times New Roman"/>
          <w:sz w:val="28"/>
          <w:szCs w:val="28"/>
        </w:rPr>
        <w:t xml:space="preserve"> Е.И., </w:t>
      </w:r>
      <w:proofErr w:type="spellStart"/>
      <w:r w:rsidRPr="004753FE">
        <w:rPr>
          <w:rFonts w:ascii="Times New Roman" w:hAnsi="Times New Roman"/>
          <w:sz w:val="28"/>
          <w:szCs w:val="28"/>
        </w:rPr>
        <w:t>Хаскин</w:t>
      </w:r>
      <w:proofErr w:type="spellEnd"/>
      <w:r w:rsidRPr="004753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А.М.</w:t>
      </w:r>
      <w:r w:rsidRPr="004753FE">
        <w:rPr>
          <w:rFonts w:ascii="Times New Roman" w:hAnsi="Times New Roman"/>
          <w:sz w:val="28"/>
          <w:szCs w:val="28"/>
        </w:rPr>
        <w:t xml:space="preserve"> Справочное руководство по черчению.- М.: Машиностроение, 1974. 696 с.</w:t>
      </w:r>
    </w:p>
    <w:p w:rsidR="00FB2520" w:rsidRPr="004753FE" w:rsidRDefault="00FB2520" w:rsidP="00FB2520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Куликов В.П. Стандарты в курсе инженерной графики, М.- Форум, 2009</w:t>
      </w:r>
    </w:p>
    <w:p w:rsidR="00FB2520" w:rsidRPr="004753FE" w:rsidRDefault="00FB2520" w:rsidP="00FB2520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Новичихина</w:t>
      </w:r>
      <w:r>
        <w:rPr>
          <w:rFonts w:ascii="Times New Roman" w:hAnsi="Times New Roman"/>
          <w:sz w:val="28"/>
          <w:szCs w:val="28"/>
        </w:rPr>
        <w:t xml:space="preserve"> Л.И. </w:t>
      </w:r>
      <w:r w:rsidRPr="004753FE">
        <w:rPr>
          <w:rFonts w:ascii="Times New Roman" w:hAnsi="Times New Roman"/>
          <w:sz w:val="28"/>
          <w:szCs w:val="28"/>
        </w:rPr>
        <w:t xml:space="preserve">Справочник по техническому черчению. </w:t>
      </w:r>
      <w:proofErr w:type="gramStart"/>
      <w:r w:rsidRPr="004753FE">
        <w:rPr>
          <w:rFonts w:ascii="Times New Roman" w:hAnsi="Times New Roman"/>
          <w:sz w:val="28"/>
          <w:szCs w:val="28"/>
        </w:rPr>
        <w:t>–М</w:t>
      </w:r>
      <w:proofErr w:type="gramEnd"/>
      <w:r w:rsidRPr="004753FE">
        <w:rPr>
          <w:rFonts w:ascii="Times New Roman" w:hAnsi="Times New Roman"/>
          <w:sz w:val="28"/>
          <w:szCs w:val="28"/>
        </w:rPr>
        <w:t>инск.: Книжный дом, 2004.</w:t>
      </w:r>
    </w:p>
    <w:p w:rsidR="00FB2520" w:rsidRPr="004753FE" w:rsidRDefault="00FB2520" w:rsidP="00FB2520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 xml:space="preserve">Федоренко В.А.,  Шошин А.И.  Справочник по машиностроительному черчению.- Л.: Машиностроение, </w:t>
      </w:r>
      <w:smartTag w:uri="urn:schemas-microsoft-com:office:smarttags" w:element="metricconverter">
        <w:smartTagPr>
          <w:attr w:name="ProductID" w:val="2005 г"/>
        </w:smartTagPr>
        <w:r w:rsidRPr="004753FE">
          <w:rPr>
            <w:rFonts w:ascii="Times New Roman" w:hAnsi="Times New Roman"/>
            <w:sz w:val="28"/>
            <w:szCs w:val="28"/>
          </w:rPr>
          <w:t>2005 г</w:t>
        </w:r>
      </w:smartTag>
      <w:r w:rsidRPr="004753FE">
        <w:rPr>
          <w:rFonts w:ascii="Times New Roman" w:hAnsi="Times New Roman"/>
          <w:sz w:val="28"/>
          <w:szCs w:val="28"/>
        </w:rPr>
        <w:t>.</w:t>
      </w:r>
    </w:p>
    <w:p w:rsidR="00FB2520" w:rsidRPr="004753FE" w:rsidRDefault="00FB2520" w:rsidP="00FB2520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753FE">
        <w:rPr>
          <w:rFonts w:ascii="Times New Roman" w:hAnsi="Times New Roman"/>
          <w:sz w:val="28"/>
          <w:szCs w:val="28"/>
        </w:rPr>
        <w:t>Стандарты  ЕСКД.</w:t>
      </w:r>
    </w:p>
    <w:p w:rsidR="00FB2520" w:rsidRPr="004753FE" w:rsidRDefault="00FB2520" w:rsidP="00FB2520"/>
    <w:p w:rsidR="009B4946" w:rsidRDefault="009B4946"/>
    <w:sectPr w:rsidR="009B4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B4B66"/>
    <w:multiLevelType w:val="hybridMultilevel"/>
    <w:tmpl w:val="39DE4B96"/>
    <w:lvl w:ilvl="0" w:tplc="5C70CFA2">
      <w:start w:val="1"/>
      <w:numFmt w:val="decimal"/>
      <w:lvlText w:val="%1."/>
      <w:lvlJc w:val="left"/>
      <w:pPr>
        <w:ind w:left="5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2" w:hanging="180"/>
      </w:pPr>
      <w:rPr>
        <w:rFonts w:cs="Times New Roman"/>
      </w:rPr>
    </w:lvl>
  </w:abstractNum>
  <w:abstractNum w:abstractNumId="1">
    <w:nsid w:val="112C0A2B"/>
    <w:multiLevelType w:val="hybridMultilevel"/>
    <w:tmpl w:val="766A5EE8"/>
    <w:lvl w:ilvl="0" w:tplc="E43EA938">
      <w:start w:val="10"/>
      <w:numFmt w:val="decimal"/>
      <w:lvlText w:val="%1."/>
      <w:lvlJc w:val="left"/>
      <w:pPr>
        <w:ind w:left="1095" w:hanging="375"/>
      </w:pPr>
      <w:rPr>
        <w:rFonts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9FB2FE9"/>
    <w:multiLevelType w:val="multilevel"/>
    <w:tmpl w:val="836E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5A1FD0"/>
    <w:multiLevelType w:val="hybridMultilevel"/>
    <w:tmpl w:val="52DA0586"/>
    <w:lvl w:ilvl="0" w:tplc="4496986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5F704D"/>
    <w:multiLevelType w:val="multilevel"/>
    <w:tmpl w:val="47C4C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A0C15F2"/>
    <w:multiLevelType w:val="hybridMultilevel"/>
    <w:tmpl w:val="4D5069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74D13BF8"/>
    <w:multiLevelType w:val="multilevel"/>
    <w:tmpl w:val="A6FC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936AAB"/>
    <w:multiLevelType w:val="hybridMultilevel"/>
    <w:tmpl w:val="280E1D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5DE0E19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9">
    <w:nsid w:val="79993F80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5"/>
  </w:num>
  <w:num w:numId="6">
    <w:abstractNumId w:val="9"/>
  </w:num>
  <w:num w:numId="7">
    <w:abstractNumId w:val="8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520"/>
    <w:rsid w:val="009B4946"/>
    <w:rsid w:val="00FB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52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5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52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52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5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5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1901</Words>
  <Characters>10842</Characters>
  <Application>Microsoft Office Word</Application>
  <DocSecurity>0</DocSecurity>
  <Lines>90</Lines>
  <Paragraphs>25</Paragraphs>
  <ScaleCrop>false</ScaleCrop>
  <Company/>
  <LinksUpToDate>false</LinksUpToDate>
  <CharactersWithSpaces>12718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2013-12-01T10:25:00Z</dcterms:created>
  <dcterms:modified xsi:type="dcterms:W3CDTF">2013-12-01T10:31:00Z</dcterms:modified>
</cp:coreProperties>
</file>