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w:t>
      </w:r>
      <w:r>
        <w:rPr>
          <w:lang w:val="en-US"/>
          <w:b w:val="1"/>
          <w:bCs w:val="1"/>
        </w:rPr>
        <w:t xml:space="preserve">2</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w:t>
      </w:r>
      <w:r>
        <w:rPr>
          <w:rFonts w:ascii="Times New Roman" w:hAnsi="Times New Roman" w:eastAsia="Times New Roman" w:cs="Times New Roman"/>
          <w:sz w:val="24"/>
          <w:szCs w:val="24"/>
          <w:b w:val="1"/>
          <w:bCs w:val="1"/>
        </w:rPr>
        <w:t xml:space="preserve">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lang w:val="en-US"/>
          <w:b w:val="1"/>
          <w:bCs w:val="1"/>
        </w:rPr>
        <w:t xml:space="preserve">специальности</w:t>
      </w:r>
      <w:r>
        <w:rPr>
          <w:lang w:val="en-US"/>
          <w:b w:val="1"/>
          <w:bCs w:val="1"/>
        </w:rPr>
        <w:t xml:space="preserve"/>
      </w:r>
    </w:p>
    <w:p>
      <w:pPr>
        <w:jc w:val="right"/>
      </w:pPr>
      <w:r>
        <w:rPr>
          <w:lang w:val="en-US"/>
          <w:b w:val="1"/>
          <w:bCs w:val="1"/>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pStyle w:val="3"/>
        <w:jc w:val="center"/>
      </w:pPr>
      <w:r>
        <w:rPr/>
        <w:t xml:space="preserve">Р</w:t>
      </w:r>
      <w:r>
        <w:rPr/>
        <w:t xml:space="preserve">абочая программа </w:t>
      </w:r>
      <w:r>
        <w:rPr/>
        <w:t xml:space="preserve">дисциплины</w:t>
      </w:r>
    </w:p>
    <w:p>
      <w:pPr>
        <w:pStyle w:val="3"/>
        <w:jc w:val="center"/>
      </w:pPr>
      <w:r>
        <w:rPr/>
        <w:t xml:space="preserve">«</w:t>
      </w:r>
      <w:r>
        <w:rPr/>
        <w:t xml:space="preserve">ООД.02 </w:t>
      </w:r>
      <w:r>
        <w:rPr/>
        <w:t xml:space="preserve">Литература»</w:t>
      </w:r>
    </w:p>
    <w:p>
      <w:pPr>
        <w:rPr/>
      </w:pPr>
    </w:p>
    <w:p>
      <w:pPr>
        <w:rPr/>
      </w:pPr>
    </w:p>
    <w:p>
      <w:pPr>
        <w:rPr/>
      </w:pPr>
    </w:p>
    <w:p>
      <w:pPr>
        <w:rPr>
          <w:rStyle w:val="1e"/>
        </w:rPr>
      </w:pPr>
    </w:p>
    <w:p>
      <w:pPr>
        <w:rPr/>
      </w:pPr>
    </w:p>
    <w:p>
      <w:pPr>
        <w:rPr/>
      </w:pPr>
    </w:p>
    <w:p>
      <w:pPr>
        <w:rPr/>
      </w:pPr>
    </w:p>
    <w:p>
      <w:pPr>
        <w:rPr/>
      </w:pPr>
    </w:p>
    <w:p>
      <w:pPr>
        <w:rPr/>
      </w:pPr>
    </w:p>
    <w:p>
      <w:pPr>
        <w:rPr/>
      </w:pPr>
    </w:p>
    <w:p>
      <w:pPr>
        <w:rPr/>
      </w:pPr>
    </w:p>
    <w:p>
      <w:pPr>
        <w:rPr/>
      </w:pPr>
    </w:p>
    <w:p>
      <w:pPr>
        <w:rPr/>
      </w:pPr>
    </w:p>
    <w:p>
      <w:pPr>
        <w:rPr>
          <w:rStyle w:val="1e"/>
        </w:rPr>
      </w:pPr>
    </w:p>
    <w:p>
      <w:r>
        <w:br w:type="page"/>
      </w:r>
    </w:p>
    <w:p>
      <w:pPr>
        <w:pStyle w:val="a4"/>
        <w:jc w:val="center"/>
      </w:pPr>
      <w:r>
        <w:rPr>
          <w:sz w:val="24"/>
          <w:szCs w:val="24"/>
          <w:b w:val="1"/>
          <w:bCs w:val="1"/>
        </w:rPr>
        <w:t xml:space="preserve">Содержание</w:t>
      </w:r>
    </w:p>
    <w:p>
      <w:pPr>
        <w:pStyle w:val="15"/>
        <w:ind w:left="518400" w:right="0" w:firstLine="0"/>
      </w:pPr>
      <w:pPr>
        <w:pStyle w:val=""/>
        <w:tabs>
          <w:tab w:leader="dot" w:pos="9354" w:val="right"/>
        </w:tabs>
        <w:ind/>
      </w:pPr>
      <w:r>
        <w:fldChar w:fldCharType="begin"/>
      </w:r>
      <w:r>
        <w:instrText xml:space="preserve">TOC \h \z \u \o "1-3"</w:instrText>
      </w:r>
      <w:r>
        <w:fldChar w:fldCharType="separate"/>
      </w:r>
      <w:r>
        <w:fldChar w:fldCharType="end"/>
      </w:r>
    </w:p>
    <w:p>
      <w:r>
        <w:br w:type="page"/>
      </w:r>
    </w:p>
    <w:p>
      <w:pPr>
        <w:pStyle w:val="1"/>
        <w:ind w:left="360" w:right="0" w:firstLine="0"/>
      </w:pPr>
      <w:r>
        <w:rPr/>
        <w:t xml:space="preserve">1. ОБЩАЯ ХАРАКТЕРИСТИКА</w:t>
      </w:r>
      <w:r>
        <w:rPr/>
        <w:t xml:space="preserve"> </w:t>
      </w:r>
      <w:r>
        <w:rPr/>
        <w:t xml:space="preserve">ПРИМЕРНОЙ РАБОЧЕЙ ПРОГРАММЫ УЧЕБНОЙ ДИСЦИПЛИНЫ</w:t>
      </w:r>
    </w:p>
    <w:p>
      <w:pPr>
        <w:pStyle w:val="1e"/>
        <w:jc w:val="center"/>
        <w:ind w:left="720" w:right="0" w:firstLine="0"/>
      </w:pPr>
      <w:r>
        <w:rPr>
          <w:lang w:val="ru-RU"/>
        </w:rPr>
        <w:t xml:space="preserve"> </w:t>
      </w:r>
      <w:r>
        <w:rPr>
          <w:lang w:val="ru-RU"/>
        </w:rPr>
        <w:t xml:space="preserve">«Литература</w:t>
      </w:r>
      <w:r>
        <w:rPr>
          <w:lang w:val="ru-RU"/>
        </w:rPr>
        <w:t xml:space="preserve">»</w:t>
      </w:r>
    </w:p>
    <w:p>
      <w:pPr>
        <w:pStyle w:val="1e"/>
        <w:jc w:val="center"/>
        <w:ind w:left="720" w:right="0" w:firstLine="0"/>
      </w:pPr>
      <w:r>
        <w:rPr>
          <w:rFonts w:ascii="Segoe UI" w:hAnsi="Segoe UI" w:eastAsia="Segoe UI" w:cs="Segoe UI"/>
          <w:lang w:val="ru-RU"/>
          <w:vertAlign w:val="superscript"/>
        </w:rPr>
        <w:t xml:space="preserve">(наименование дисциплины)</w:t>
      </w:r>
    </w:p>
    <w:p>
      <w:pPr>
        <w:pStyle w:val="2"/>
      </w:pPr>
      <w:r>
        <w:rPr/>
        <w:t xml:space="preserve">1.1. </w:t>
      </w:r>
      <w:r>
        <w:rPr/>
        <w:t xml:space="preserve">Цель и </w:t>
      </w:r>
      <w:r>
        <w:rPr/>
        <w:t xml:space="preserve">место </w:t>
      </w:r>
      <w:r>
        <w:rPr/>
        <w:t xml:space="preserve">дисциплины</w:t>
      </w:r>
      <w:r>
        <w:rPr/>
        <w:t xml:space="preserve"> в структуре образовательной программы</w:t>
      </w:r>
    </w:p>
    <w:p>
      <w:pPr>
        <w:pStyle w:val="1e"/>
        <w:ind w:left="0" w:right="0" w:firstLine="709"/>
      </w:pPr>
      <w:r>
        <w:rPr/>
        <w:t xml:space="preserve">Цель дисциплины «Литература»: формирование культуры читательского восприятия и понимания литературных текстов, читательской самостоятельности и речевых компетенций.. </w:t>
      </w:r>
    </w:p>
    <w:p>
      <w:pPr>
        <w:pStyle w:val="1e"/>
        <w:ind w:left="0" w:right="0" w:firstLine="709"/>
      </w:pPr>
      <w:r>
        <w:rPr/>
        <w:t xml:space="preserve">Дисциплина «Литература» включена в </w:t>
      </w:r>
      <w:r>
        <w:rPr/>
        <w:t xml:space="preserve"> </w:t>
      </w:r>
      <w:r>
        <w:rPr/>
        <w:t xml:space="preserve">обязательную часть цикла </w:t>
      </w:r>
      <w:r>
        <w:rPr/>
        <w:t xml:space="preserve">«</w:t>
      </w:r>
      <w:r>
        <w:rPr/>
        <w:t xml:space="preserve">общеобразовательные дисциплины</w:t>
      </w:r>
      <w:r>
        <w:rPr/>
        <w:t xml:space="preserve">»</w:t>
      </w:r>
      <w:r>
        <w:rPr/>
        <w:t xml:space="preserve"> </w:t>
      </w:r>
      <w:r>
        <w:rPr/>
        <w:t xml:space="preserve">образовательной программы</w:t>
      </w:r>
      <w:r>
        <w:rPr/>
        <w:t xml:space="preserve">  </w:t>
      </w:r>
      <w:r>
        <w:rPr/>
        <w:t xml:space="preserve"> </w:t>
      </w:r>
    </w:p>
    <w:p>
      <w:pPr>
        <w:pStyle w:val="2"/>
      </w:pPr>
      <w:r>
        <w:rPr/>
        <w:t xml:space="preserve">1.2. </w:t>
      </w:r>
      <w:r>
        <w:rPr/>
        <w:t xml:space="preserve">П</w:t>
      </w:r>
      <w:r>
        <w:rPr/>
        <w:t xml:space="preserve">ланируемы</w:t>
      </w:r>
      <w:r>
        <w:rPr/>
        <w:t xml:space="preserve">е</w:t>
      </w:r>
      <w:r>
        <w:rPr/>
        <w:t xml:space="preserve"> результат</w:t>
      </w:r>
      <w:r>
        <w:rPr/>
        <w:t xml:space="preserve">ы</w:t>
      </w:r>
      <w:r>
        <w:rPr/>
        <w:t xml:space="preserve"> освоения </w:t>
      </w:r>
      <w:r>
        <w:rPr/>
        <w:t xml:space="preserve">дисциплины</w:t>
      </w:r>
    </w:p>
    <w:p>
      <w:pPr>
        <w:pStyle w:val="1e"/>
        <w:ind w:left="0" w:right="0" w:firstLine="709"/>
      </w:pPr>
      <w:r>
        <w:rPr>
          <w:lang w:val="ru-RU"/>
        </w:rPr>
        <w:t xml:space="preserve">Результаты освоения </w:t>
      </w:r>
      <w:r>
        <w:rPr>
          <w:lang w:val="ru-RU"/>
        </w:rPr>
        <w:t xml:space="preserve">дисциплины</w:t>
      </w:r>
      <w:r>
        <w:rPr>
          <w:lang w:val="ru-RU"/>
        </w:rPr>
        <w:t xml:space="preserve"> соотносятся с планируемыми результатами освоения образовательной программы, представленными в </w:t>
      </w:r>
      <w:r>
        <w:rPr>
          <w:lang w:val="ru-RU"/>
        </w:rPr>
        <w:t xml:space="preserve">матрице компетенций выпускника (п. </w:t>
      </w:r>
      <w:r>
        <w:rPr>
          <w:lang w:val="ru-RU"/>
        </w:rPr>
        <w:t xml:space="preserve">4.3</w:t>
      </w:r>
      <w:r>
        <w:rPr>
          <w:lang w:val="ru-RU"/>
        </w:rPr>
        <w:t xml:space="preserve"> </w:t>
      </w:r>
      <w:r>
        <w:rPr>
          <w:lang w:val="ru-RU"/>
        </w:rPr>
        <w:t xml:space="preserve">О</w:t>
      </w:r>
      <w:r>
        <w:rPr>
          <w:lang w:val="ru-RU"/>
        </w:rPr>
        <w:t xml:space="preserve">ПОП-П</w:t>
      </w:r>
      <w:r>
        <w:rPr>
          <w:lang w:val="ru-RU"/>
        </w:rPr>
        <w:t xml:space="preserve">)</w:t>
      </w:r>
      <w:r>
        <w:rPr>
          <w:lang w:val="ru-RU"/>
        </w:rPr>
        <w:t xml:space="preserve">.</w:t>
      </w:r>
    </w:p>
    <w:p>
      <w:pPr>
        <w:pStyle w:val="1e"/>
        <w:ind w:left="0" w:right="0" w:firstLine="709"/>
      </w:pPr>
      <w:r>
        <w:rPr>
          <w:lang w:val="ru-RU"/>
        </w:rPr>
        <w:t xml:space="preserve">В результате освоения </w:t>
      </w:r>
      <w:r>
        <w:rPr>
          <w:lang w:val="ru-RU"/>
        </w:rPr>
        <w:t xml:space="preserve">дисциплины</w:t>
      </w:r>
      <w:r>
        <w:rPr>
          <w:lang w:val="ru-RU"/>
        </w:rPr>
        <w:t xml:space="preserve"> обучающийся должен</w:t>
      </w:r>
      <w:r>
        <w:rPr>
          <w:rStyle w:val="FootnoteReference"/>
        </w:rPr>
        <w:footnoteReference w:id="2"/>
      </w:r>
      <w:r>
        <w:rPr>
          <w:lang w:val="ru-RU"/>
        </w:rPr>
        <w:t xml:space="preserve">:</w:t>
      </w:r>
    </w:p>
    <w:tbl>
      <w:tblGrid>
        <w:gridCol/>
        <w:gridCol/>
        <w:gridCol/>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vAlign w:val="center"/>
            <w:vMerge w:val="restart"/>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и наименование формируемых компетенций</w:t>
            </w:r>
          </w:p>
        </w:tc>
        <w:tc>
          <w:tcPr>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Планируемые результаты освоения дисциплины</w:t>
            </w:r>
          </w:p>
        </w:tc>
      </w:tr>
      <w:tr>
        <w:trPr/>
        <w:tc>
          <w:tcPr>
            <w:vMerge w:val="continue"/>
            <w:noWrap/>
          </w:tcP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Общие</w:t>
            </w: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Дисциплинарные</w:t>
            </w:r>
          </w:p>
        </w:tc>
      </w:tr>
      <w:tr>
        <w:trPr/>
        <w:tc>
          <w:tcPr>
            <w:vMerge w:val="restart"/>
            <w:noWrap/>
          </w:tcPr>
          <w:p>
            <w:pPr>
              <w:ind w:left="0" w:right="0" w:firstLine="0"/>
              <w:spacing w:before="0" w:after="0" w:line="276" w:lineRule="auto"/>
            </w:pPr>
            <w:r>
              <w:rPr/>
              <w:t xml:space="preserve">ОК 01</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Сформированность гражданской позиции обучающегося как активного и ответственного члена российского общества.</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Самостоятельно формулировать и актуализировать проблему, рассматривать ее всесторонне.</w:t>
            </w:r>
            <w:br/>
          </w:p>
        </w:tc>
        <w:tc>
          <w:tcPr>
            <w:noWrap/>
          </w:tcPr>
          <w:p>
            <w:pPr>
              <w:ind w:left="0" w:right="0" w:firstLine="0"/>
              <w:spacing w:before="0" w:after="0" w:line="276" w:lineRule="auto"/>
            </w:pPr>
            <w:r>
              <w:rPr/>
              <w:t xml:space="preserve">ПРб 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br/>
          </w:p>
        </w:tc>
      </w:tr>
      <w:tr>
        <w:trPr/>
        <w:tc>
          <w:tcPr>
            <w:vMerge w:val="restart"/>
            <w:noWrap/>
          </w:tcPr>
          <w:p>
            <w:pPr>
              <w:ind w:left="0" w:right="0" w:firstLine="0"/>
              <w:spacing w:before="0" w:after="0" w:line="276" w:lineRule="auto"/>
            </w:pPr>
            <w:r>
              <w:rPr/>
              <w:t xml:space="preserve">ОК 02</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Осознание своих конституционных прав и обязанностей, уважение закона и правопорядка.</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Устанавливать существенный признак или основания для сравнения, классификации и обобщения.</w:t>
            </w:r>
            <w:br/>
          </w:p>
        </w:tc>
        <w:tc>
          <w:tcPr>
            <w:noWrap/>
          </w:tcPr>
          <w:p>
            <w:pPr>
              <w:ind w:left="0" w:right="0" w:firstLine="0"/>
              <w:spacing w:before="0" w:after="0" w:line="276" w:lineRule="auto"/>
            </w:pPr>
          </w:p>
        </w:tc>
      </w:tr>
      <w:tr>
        <w:trPr/>
        <w:tc>
          <w:tcPr>
            <w:vMerge w:val="restart"/>
            <w:noWrap/>
          </w:tcPr>
          <w:p>
            <w:pPr>
              <w:ind w:left="0" w:right="0" w:firstLine="0"/>
              <w:spacing w:before="0" w:after="0" w:line="276" w:lineRule="auto"/>
            </w:pPr>
            <w:r>
              <w:rPr/>
              <w:t xml:space="preserve">ОК 03</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Определять цели деятельности, задавать параметры и критерии их достижения.</w:t>
            </w:r>
            <w:br/>
          </w:p>
        </w:tc>
        <w:tc>
          <w:tcPr>
            <w:noWrap/>
          </w:tcPr>
          <w:p>
            <w:pPr>
              <w:ind w:left="0" w:right="0" w:firstLine="0"/>
              <w:spacing w:before="0" w:after="0" w:line="276" w:lineRule="auto"/>
            </w:pPr>
          </w:p>
        </w:tc>
      </w:tr>
      <w:tr>
        <w:trPr/>
        <w:tc>
          <w:tcPr>
            <w:vMerge w:val="restart"/>
            <w:noWrap/>
          </w:tcPr>
          <w:p>
            <w:pPr>
              <w:ind w:left="0" w:right="0" w:firstLine="0"/>
              <w:spacing w:before="0" w:after="0" w:line="276" w:lineRule="auto"/>
            </w:pPr>
            <w:r>
              <w:rPr/>
              <w:t xml:space="preserve">ОК 04</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Умение взаимодействовать с социальными институтами в соответствии с их функциями и назначением.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Выявлять закономерности и противоречия в рассматриваемых явлениях.</w:t>
            </w:r>
            <w:br/>
          </w:p>
        </w:tc>
        <w:tc>
          <w:tcPr>
            <w:noWrap/>
          </w:tcPr>
          <w:p>
            <w:pPr>
              <w:ind w:left="0" w:right="0" w:firstLine="0"/>
              <w:spacing w:before="0" w:after="0" w:line="276" w:lineRule="auto"/>
            </w:pPr>
          </w:p>
        </w:tc>
      </w:tr>
      <w:tr>
        <w:trPr/>
        <w:tc>
          <w:tcPr>
            <w:vMerge w:val="restart"/>
            <w:noWrap/>
          </w:tcPr>
          <w:p>
            <w:pPr>
              <w:ind w:left="0" w:right="0" w:firstLine="0"/>
              <w:spacing w:before="0" w:after="0" w:line="276" w:lineRule="auto"/>
            </w:pPr>
            <w:r>
              <w:rPr/>
              <w:t xml:space="preserve">ОК 05</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Умение взаимодействовать с социальными институтами в соответствии с их функциями и назначением.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Выявлять закономерности и противоречия в рассматриваемых явлениях.</w:t>
            </w:r>
            <w:br/>
          </w:p>
        </w:tc>
        <w:tc>
          <w:tcPr>
            <w:noWrap/>
          </w:tcPr>
          <w:p>
            <w:pPr>
              <w:ind w:left="0" w:right="0" w:firstLine="0"/>
              <w:spacing w:before="0" w:after="0" w:line="276" w:lineRule="auto"/>
            </w:pPr>
          </w:p>
        </w:tc>
      </w:tr>
      <w:tr>
        <w:trPr/>
        <w:tc>
          <w:tcPr>
            <w:vMerge w:val="restart"/>
            <w:noWrap/>
          </w:tcPr>
          <w:p>
            <w:pPr>
              <w:ind w:left="0" w:right="0" w:firstLine="0"/>
              <w:spacing w:before="0" w:after="0" w:line="276" w:lineRule="auto"/>
            </w:pPr>
            <w:r>
              <w:rPr/>
              <w:t xml:space="preserve">ОК 06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Вносить коррективы в деятельность, оценивать соответствие результатов целям, оценивать риски последствий деятельности.</w:t>
            </w:r>
            <w:br/>
          </w:p>
        </w:tc>
        <w:tc>
          <w:tcPr>
            <w:noWrap/>
          </w:tcPr>
          <w:p>
            <w:pPr>
              <w:ind w:left="0" w:right="0" w:firstLine="0"/>
              <w:spacing w:before="0" w:after="0" w:line="276" w:lineRule="auto"/>
            </w:pPr>
          </w:p>
        </w:tc>
      </w:tr>
      <w:tr>
        <w:trPr/>
        <w:tc>
          <w:tcPr>
            <w:vMerge w:val="restart"/>
            <w:noWrap/>
          </w:tcPr>
          <w:p>
            <w:pPr>
              <w:ind w:left="0" w:right="0" w:firstLine="0"/>
              <w:spacing w:before="0" w:after="0" w:line="276" w:lineRule="auto"/>
            </w:pPr>
            <w:r>
              <w:rPr/>
              <w:t xml:space="preserve">ОК 09</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Вносить коррективы в деятельность, оценивать соответствие результатов целям, оценивать риски последствий деятельности.</w:t>
            </w:r>
            <w:br/>
          </w:p>
        </w:tc>
        <w:tc>
          <w:tcPr>
            <w:noWrap/>
          </w:tcPr>
          <w:p>
            <w:pPr>
              <w:ind w:left="0" w:right="0" w:firstLine="0"/>
              <w:spacing w:before="0" w:after="0" w:line="276" w:lineRule="auto"/>
            </w:pPr>
            <w:r>
              <w:rPr/>
              <w:t xml:space="preserve">ПРб 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br/>
          </w:p>
        </w:tc>
      </w:tr>
    </w:tbl>
    <w:p>
      <w:pPr>
        <w:rPr/>
      </w:pPr>
    </w:p>
    <w:p>
      <w:r>
        <w:br w:type="page"/>
      </w:r>
    </w:p>
    <w:p>
      <w:pPr>
        <w:rPr/>
      </w:pPr>
    </w:p>
    <w:p>
      <w:pPr>
        <w:pStyle w:val="1"/>
      </w:pPr>
      <w:r>
        <w:rPr/>
        <w:t xml:space="preserve">2. СТРУКТУРА И СОДЕРЖАНИЕ ДИСЦИПЛИНЫ</w:t>
      </w:r>
    </w:p>
    <w:p>
      <w:pPr>
        <w:rPr>
          <w:rStyle w:val="1e"/>
        </w:rPr>
      </w:pPr>
    </w:p>
    <w:p>
      <w:pPr>
        <w:pStyle w:val="2"/>
      </w:pPr>
      <w:r>
        <w:rPr/>
        <w:t xml:space="preserve">2.1. Трудоемкость освоения </w:t>
      </w:r>
      <w:r>
        <w:rPr/>
        <w:t xml:space="preserve">дисциплины</w:t>
      </w:r>
      <w:r>
        <w:rPr/>
        <w:t xml:space="preserve"> </w:t>
      </w:r>
    </w:p>
    <w:tbl>
      <w:tblGrid>
        <w:gridCol w:w="3259" w:type="dxa"/>
        <w:gridCol w:w="579" w:type="dxa"/>
        <w:gridCol w:w="1162"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23" w:hRule="atLeast"/>
        </w:trPr>
        <w:tc>
          <w:tcPr>
            <w:tcW w:w="3259" w:type="dxa"/>
            <w:vAlign w:val="center"/>
            <w:noWrap/>
          </w:tcPr>
          <w:p>
            <w:pPr>
              <w:jc w:val="center"/>
            </w:pPr>
            <w:r>
              <w:rPr>
                <w:rFonts w:ascii="Times New Roman" w:hAnsi="Times New Roman" w:eastAsia="Times New Roman" w:cs="Times New Roman"/>
                <w:b w:val="1"/>
                <w:bCs w:val="1"/>
              </w:rPr>
              <w:t xml:space="preserve">Наименование составных частей </w:t>
            </w:r>
            <w:r>
              <w:rPr>
                <w:rFonts w:ascii="Times New Roman" w:hAnsi="Times New Roman" w:eastAsia="Times New Roman" w:cs="Times New Roman"/>
                <w:b w:val="1"/>
                <w:bCs w:val="1"/>
              </w:rPr>
              <w:t xml:space="preserve">дисциплины</w:t>
            </w:r>
          </w:p>
        </w:tc>
        <w:tc>
          <w:tcPr>
            <w:tcW w:w="579" w:type="dxa"/>
            <w:vAlign w:val="center"/>
            <w:noWrap/>
          </w:tcPr>
          <w:p>
            <w:pPr>
              <w:jc w:val="center"/>
            </w:pPr>
            <w:r>
              <w:rPr>
                <w:rFonts w:ascii="Times New Roman" w:hAnsi="Times New Roman" w:eastAsia="Times New Roman" w:cs="Times New Roman"/>
                <w:b w:val="1"/>
                <w:bCs w:val="1"/>
              </w:rPr>
              <w:t xml:space="preserve">Объем в часах</w:t>
            </w:r>
          </w:p>
        </w:tc>
        <w:tc>
          <w:tcPr>
            <w:tcW w:w="1162" w:type="dxa"/>
            <w:noWrap/>
          </w:tcPr>
          <w:p>
            <w:pPr>
              <w:jc w:val="center"/>
            </w:pPr>
            <w:r>
              <w:rPr>
                <w:rFonts w:ascii="Times New Roman" w:hAnsi="Times New Roman" w:eastAsia="Times New Roman" w:cs="Times New Roman"/>
                <w:b w:val="1"/>
                <w:bCs w:val="1"/>
              </w:rPr>
              <w:t xml:space="preserve">В т.ч. в форме практ</w:t>
            </w:r>
            <w:r>
              <w:rPr>
                <w:rFonts w:ascii="Times New Roman" w:hAnsi="Times New Roman" w:eastAsia="Times New Roman" w:cs="Times New Roman"/>
                <w:b w:val="1"/>
                <w:bCs w:val="1"/>
              </w:rPr>
              <w:t xml:space="preserve">.</w:t>
            </w:r>
            <w:r>
              <w:rPr>
                <w:rFonts w:ascii="Times New Roman" w:hAnsi="Times New Roman" w:eastAsia="Times New Roman" w:cs="Times New Roman"/>
                <w:b w:val="1"/>
                <w:bCs w:val="1"/>
              </w:rPr>
              <w:t xml:space="preserve"> подготовки</w:t>
            </w:r>
          </w:p>
        </w:tc>
      </w:tr>
      <w:tr>
        <w:trPr/>
        <w:tc>
          <w:tcPr>
            <w:noWrap/>
          </w:tcPr>
          <w:p>
            <w:pPr>
              <w:ind w:left="0" w:right="0" w:firstLine="0"/>
              <w:spacing w:before="0" w:after="0" w:line="276" w:lineRule="auto"/>
            </w:pPr>
            <w:r>
              <w:rPr>
                <w:rFonts w:ascii="Times New Roman" w:hAnsi="Times New Roman" w:eastAsia="Times New Roman" w:cs="Times New Roman"/>
                <w:sz w:val="24"/>
                <w:szCs w:val="24"/>
              </w:rPr>
              <w:t xml:space="preserve">Учебные занятия</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116</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54</w:t>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i w:val="1"/>
                <w:iCs w:val="1"/>
              </w:rPr>
              <w:t xml:space="preserve">Курсовая работа (проект)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Самостоятельная работа</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Промежуточная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аттестация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форме</w:t>
            </w:r>
            <w:r>
              <w:rPr>
                <w:rFonts w:ascii="Times New Roman" w:hAnsi="Times New Roman" w:eastAsia="Times New Roman" w:cs="Times New Roman"/>
                <w:lang w:val="en-US"/>
                <w:sz w:val="24"/>
                <w:szCs w:val="24"/>
              </w:rPr>
              <w:t xml:space="preserve"> диф.зачет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2</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Всего</w:t>
            </w:r>
          </w:p>
        </w:tc>
        <w:tc>
          <w:tcPr>
            <w:tcW w:w="579" w:type="dxa"/>
            <w:vAlign w:val="center"/>
            <w:noWrap/>
          </w:tcPr>
          <w:p>
            <w:pPr>
              <w:jc w:val="center"/>
            </w:pPr>
            <w:r>
              <w:rPr>
                <w:lang w:val="en-US"/>
                <w:b w:val="1"/>
                <w:bCs w:val="1"/>
              </w:rPr>
              <w:t xml:space="preserve">116</w:t>
            </w:r>
            <w:r>
              <w:rPr>
                <w:lang w:val="en-US"/>
                <w:b w:val="1"/>
                <w:bCs w:val="1"/>
              </w:rPr>
              <w:t xml:space="preserve"/>
            </w:r>
          </w:p>
        </w:tc>
        <w:tc>
          <w:tcPr>
            <w:tcW w:w="1162" w:type="dxa"/>
            <w:vAlign w:val="center"/>
            <w:noWrap/>
          </w:tcPr>
          <w:p>
            <w:pPr>
              <w:jc w:val="center"/>
            </w:pPr>
            <w:r>
              <w:rPr>
                <w:lang w:val="en-US"/>
                <w:b w:val="1"/>
                <w:bCs w:val="1"/>
              </w:rPr>
              <w:t xml:space="preserve">110</w:t>
            </w:r>
            <w:r>
              <w:rPr>
                <w:lang w:val="en-US"/>
                <w:b w:val="1"/>
                <w:bCs w:val="1"/>
              </w:rPr>
              <w:t xml:space="preserve"/>
            </w:r>
          </w:p>
        </w:tc>
      </w:tr>
    </w:tbl>
    <w:p>
      <w:pPr>
        <w:rPr>
          <w:rStyle w:val="1e"/>
        </w:rPr>
      </w:pPr>
    </w:p>
    <w:p>
      <w:pPr>
        <w:rPr>
          <w:rStyle w:val="114"/>
        </w:rPr>
      </w:pPr>
    </w:p>
    <w:p>
      <w:pPr>
        <w:sectPr>
          <w:headerReference w:type="even" r:id="rId7"/>
          <w:footerReference w:type="default" r:id="rId8"/>
          <w:pgSz w:orient="portrait" w:w="11906" w:h="16838"/>
          <w:pgMar w:top="1134" w:right="567" w:bottom="1134" w:left="1701" w:header="709" w:footer="709" w:gutter="0"/>
          <w:cols w:num="1" w:space="708"/>
        </w:sectPr>
      </w:pPr>
    </w:p>
    <w:p>
      <w:pPr>
        <w:pStyle w:val="2"/>
      </w:pPr>
      <w:r>
        <w:rPr/>
        <w:t xml:space="preserve">2.</w:t>
      </w:r>
      <w:r>
        <w:rPr>
          <w:lang w:val="en-US"/>
        </w:rPr>
        <w:t xml:space="preserve">2</w:t>
      </w:r>
      <w:r>
        <w:rPr/>
        <w:t xml:space="preserve">. </w:t>
      </w:r>
      <w:r>
        <w:rPr/>
        <w:t xml:space="preserve">С</w:t>
      </w:r>
      <w:r>
        <w:rPr/>
        <w:t xml:space="preserve">одержание </w:t>
      </w:r>
      <w:r>
        <w:rPr/>
        <w:t xml:space="preserve">дисциплины</w:t>
      </w:r>
    </w:p>
    <w:tbl>
      <w:tblGrid>
        <w:gridCol w:w="3922" w:type="dxa"/>
        <w:gridCol w:w="5935" w:type="dxa"/>
        <w:gridCol w:w="2549" w:type="dxa"/>
        <w:gridCol w:w="2331"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903" w:hRule="atLeast"/>
        </w:trPr>
        <w:tc>
          <w:tcPr>
            <w:tcW w:w="3922" w:type="dxa"/>
            <w:vAlign w:val="center"/>
            <w:noWrap/>
          </w:tcPr>
          <w:p>
            <w:pPr>
              <w:jc w:val="center"/>
              <w:spacing w:line="276" w:lineRule="auto"/>
            </w:pPr>
            <w:r>
              <w:rPr>
                <w:rFonts w:ascii="Times New Roman" w:hAnsi="Times New Roman" w:eastAsia="Times New Roman" w:cs="Times New Roman"/>
                <w:sz w:val="24"/>
                <w:szCs w:val="24"/>
                <w:b w:val="1"/>
                <w:bCs w:val="1"/>
              </w:rPr>
              <w:t xml:space="preserve">Наименование разделов и тем</w:t>
            </w:r>
          </w:p>
        </w:tc>
        <w:tc>
          <w:tcPr>
            <w:tcW w:w="5935" w:type="dxa"/>
            <w:vAlign w:val="center"/>
            <w:noWrap/>
          </w:tcPr>
          <w:p>
            <w:pPr>
              <w:jc w:val="center"/>
              <w:suppressAutoHyphens/>
            </w:pPr>
            <w:r>
              <w:rPr>
                <w:rFonts w:ascii="Times New Roman" w:hAnsi="Times New Roman" w:eastAsia="Times New Roman" w:cs="Times New Roman"/>
                <w:sz w:val="24"/>
                <w:szCs w:val="24"/>
                <w:b w:val="1"/>
                <w:bCs w:val="1"/>
              </w:rPr>
              <w:t xml:space="preserve">Содержание учебного материала, практических и лабораторных занятий, </w:t>
            </w:r>
            <w:r>
              <w:rPr>
                <w:rFonts w:ascii="Times New Roman" w:hAnsi="Times New Roman" w:eastAsia="Times New Roman" w:cs="Times New Roman"/>
                <w:color w:val="0070C0"/>
                <w:sz w:val="24"/>
                <w:szCs w:val="24"/>
                <w:i w:val="1"/>
                <w:iCs w:val="1"/>
              </w:rPr>
              <w:t xml:space="preserve">курсовая работа (проект)</w:t>
            </w:r>
          </w:p>
        </w:tc>
        <w:tc>
          <w:tcPr>
            <w:tcW w:w="2549" w:type="dxa"/>
            <w:noWrap/>
          </w:tcPr>
          <w:p>
            <w:pPr>
              <w:jc w:val="center"/>
              <w:suppressAutoHyphens/>
            </w:pPr>
            <w:r>
              <w:rPr>
                <w:rFonts w:ascii="Times New Roman" w:hAnsi="Times New Roman" w:eastAsia="Times New Roman" w:cs="Times New Roman"/>
                <w:sz w:val="24"/>
                <w:szCs w:val="24"/>
                <w:b w:val="1"/>
                <w:bCs w:val="1"/>
              </w:rPr>
              <w:t xml:space="preserve">Объем, ак. ч. / </w:t>
            </w:r>
            <w:br/>
            <w:r>
              <w:rPr>
                <w:rFonts w:ascii="Times New Roman" w:hAnsi="Times New Roman" w:eastAsia="Times New Roman" w:cs="Times New Roman"/>
                <w:sz w:val="24"/>
                <w:szCs w:val="24"/>
                <w:b w:val="1"/>
                <w:bCs w:val="1"/>
              </w:rPr>
              <w:t xml:space="preserve">в том числе </w:t>
            </w:r>
            <w:br/>
            <w:r>
              <w:rPr>
                <w:rFonts w:ascii="Times New Roman" w:hAnsi="Times New Roman" w:eastAsia="Times New Roman" w:cs="Times New Roman"/>
                <w:sz w:val="24"/>
                <w:szCs w:val="24"/>
                <w:b w:val="1"/>
                <w:bCs w:val="1"/>
              </w:rPr>
              <w:t xml:space="preserve">в форме практической подготовки, </w:t>
            </w:r>
            <w:br/>
            <w:r>
              <w:rPr>
                <w:rFonts w:ascii="Times New Roman" w:hAnsi="Times New Roman" w:eastAsia="Times New Roman" w:cs="Times New Roman"/>
                <w:sz w:val="24"/>
                <w:szCs w:val="24"/>
                <w:b w:val="1"/>
                <w:bCs w:val="1"/>
              </w:rPr>
              <w:t xml:space="preserve">ак. ч.</w:t>
            </w:r>
          </w:p>
        </w:tc>
        <w:tc>
          <w:tcPr>
            <w:tcW w:w="2331" w:type="dxa"/>
            <w:noWrap/>
          </w:tcPr>
          <w:p>
            <w:pPr>
              <w:jc w:val="center"/>
              <w:suppressAutoHyphens/>
            </w:pPr>
            <w:r>
              <w:rPr>
                <w:rFonts w:ascii="Times New Roman" w:hAnsi="Times New Roman" w:eastAsia="Times New Roman" w:cs="Times New Roman"/>
                <w:sz w:val="24"/>
                <w:szCs w:val="24"/>
                <w:b w:val="1"/>
                <w:bCs w:val="1"/>
              </w:rPr>
              <w:t xml:space="preserve">Коды компетенций, формированию которых способствует элемент программы</w:t>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 Человек и его время: классики первой половины XIX века и знаковые образы русской культуры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8/6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 А.С.  Пушкин как национальный гений и символ</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Введение. Специфика литературы как вида искусства и ее место в жизни человека. Связь литературы с другими видами искусств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1.2 Тема одиночества человека в творчестве М. Ю. Лермонтова (1814 — 1841)</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темы поэзии М.Ю. Лермонтова. лирический герой поэзии М.Ю. Лермонтова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чтение и анализ стихотворений; подготовка литературно-музыкальной композиции на стихи поэта. Создание портрета лирического героя поэзии М.Ю. Лермонтова или подбор иллюстраций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2  Вопрос русской литературы второй половины XIX века: как человек может влиять на окружающий мир и менять его к лучшему?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32/22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2.1 Драматургия А.Н. Островского в театре. Судьба женщины в XIX веке и ее отражение в драмах А. Н. Островского (1823—1886)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 Семейный уклад в доме Кабанихи. Характеры Кабанихи, Варвары и Тихона Кабановых в их противопоставлении характеру Катерины.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2.2 Илья Ильич Обломов как вневременной тип и одна из граней национального характера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 Литературная критика произведения: Н.А. Добролюбов " Что такое обломовщина?"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2.3 Новый герой, «отрицающий всё», в романе И. С. Тургенева (1818 — 1883) «Отцы и дети»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 Литературная критика произведения Д. И. Писарева "Базаров"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2.4 Люди и реальность в сказках М. Е. Салтыкова-Щедрина (1826—1889): русская жизнь в иносказаниях</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2.5 Человек и его выбор в кризисной ситуации в романе Ф.М. Достоевского «Преступление и наказание» (1866)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2.6 Человек в поиске правды и любви: «любовь – это деятельное желание добра другому…» – в творчестве Л. Н. Толстого (1828—1910)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 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2.7 Крестьянство как собирательный герой поэзии Н.А. Некрасова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инфоресурсами:сообщение о легендарном сюжете об атамане Кудеяре в фольклоре и его воплощении в поэме Некрасова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2.8 Человек и мир в зеркале поэзии. Ф.И. Тютчев и А.А. Фет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чтение и анализ стихотворений; подготовка литературно-музыкальной композиции на стихи поэтов и подбор иллюстративного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2.9 Проблема ответственности человека за свою судьбу и судьбы близких ему людей в рассказах А.П. Чехова (1860—1904)</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Инсценировка избранных эпизодов пьесы. Подготовка и участиев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Отличие нормативных документов от видов текстов (сопоставление фрагмента из художественного текста и официальных документов). Понятие о резюме.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3. «Человек в поиске прекрасного»: Русская литература рубежа XIХ-ХХ веков в контексте социокультурных процессов эпохи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3.1 Мотивы лирики и прозы И. А. Бунина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Иван Алексеевич Бунин (1870–1953). Факты биографии. Первый русский писатель – лауреат Нобелевской премии по литературе  «Листопад», «Вечер», «Одиночество», «Не устану воспевать вас, звезды!..», «Последний шмель», «Слово», «Поэту» (другие – по выбору учителя).  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Психологизм бунинской прозы. Пейзаж. Особенности языка: «живопись» словом, детали-символы, сочетание различных пластов лексики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3.2 Традиции русской классики в творчестве А. И. Куприна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Александр Иванович Куприн (1870–1938) Сведения из биографии. Повесть «Олеся». Тема «естественного человека» в повести. Мечты Олеси и реальная жизнь ее окружения. Трагизм любови героини. Осуждение пороков общества.  Рассказ «Гранатовый браслет».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3.3 Герои М. Горького в поисках смысла жизни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Максим Горький (1868–1936). Сведения из биографии (актуализация и обобщение ранее изученного).  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Пьеса «На дне».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3.4 Серебряный век: общая характеристика и основные представители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От реализма – к модернизму Серебряный век: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 Символизм. Идея двоемирия и обновление художественного языка: расширение значения слова. Поэты-символисты: В. Брюсов («Творчество»); К. Бальмонт («Я – изысканность русской медлительной речи…»); А. Белый («Раздумье»). Акмеизм. Возвращение к «прекрасной ясности». Предметность тематики и образов, точность слова. Поэты-акмеисты: Н. Гумилев («Жираф»); С. Городецкий («Береза»). Футуризм. Эпатажность и устремленность в будущее. Разрыв с традицией. Попытка создать «новый стиль.</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Приоритет формы над содержанием, эпатаж. Поиски в области языка, словотворчество. Поэты-футуристы: И. Северянин («Эпилог», «Авиатор»); В. Хлебников («Заклятие смехом»). Серебряный век в кино и театре.  Культура авангарда в современной массовой культуре 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3.5 А. Блок. Лирика. Поэма «Двенадцать»</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Александр Александрович Блок (1880–1921). Сведения из биографии поэта.  «Вхожу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 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3.6 Поэтическое новаторство В. Маяковского</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Владимир Владимирович Маяковский (1893–1930) Трагедия горлана-главаря (факты биографии). «Послушайте!», «Лиличка!», «Скрипка и немножко нервно», «Левый марш», «Прозаседавшиеся», «Нате!», «А вы могли бы?», «Юбилейное», «Сергею Есенину»  Лирика. 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3.7 Драматизм судьбы поэта С. А. Есенин</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Сергей Александрович Есенин (1895–1925)  («Гой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 Чувство Родины – основное в творчестве Есенина. Образ родной деревни, ее судьба в ранней и поздней лирике поэта. Посвящение матери.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 поэтическими произведениями С. Есенина – выразительное чтение, исполнение, составление визуальных и музыкальных композиций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4  «Человек перед лицом эпохальных потрясений»: Русская литература 20-40-х годов ХХ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18/6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4.1 Исповедальность лирики М. И. Цветаевой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Марина Ивановна Цветаева (1892–1941) Сведения из биографии.  «Роландов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4.2 Андрей Платонов. «Усомнившийся Макар»</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Андрей Платонов (Андрей Платонович Климентов) (1899–1951) Сведения из биографии.  Повесть «Усомнившийся Макар».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4.3 Вечные темы в поэзии А. А. Ахматовой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Анна Андреевна Ахматова (1889–1966) Сведения из биографии.  «Песня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 Лирика. Основные темы лирики Ахматовой: любовь как всепоглощающее чувство, как мука; тема творчества; гражданская тема; пушкинская тема. 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участие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4.4 «Изгнанник, избранник»: М. А. Булгаков</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Михаил Афанасьевич Булгаков (1891–1940) «Изгнанник, избранник»: сведения из биографии (с обобщением ранее изученного)</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Жанр и композиция романа «Мастер и Маргарита». Уровни повествования. Реальность и фантастика. Сатира в романе. Финал романа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4.5 М. А. Шолохов. Роман-эпопея «Тихий Дон»</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Михаил Александрович Шолохов (1905–1984) Сведения из биографии (с обобщением ранее изученного). Лауреат Нобелевской премии по литературе  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с эпизодами из выбранных глав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5 «Поэт и мир»: Литературный процесс в России 40-х – середины 50-х годов ХХ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5.1 «Дойти до самой сути»: Б. Пастернак. Исповедальность лирики А. Г. Твардовского</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Борис Леонидович Пастернак (1890–1960) Сведения из биографии. Лауреат Нобелевской премии по литературе  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6 «Человек и человечность»: Основные явления литературной жизни России конца 50-х – 80-х годов ХХ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12/6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6.1 Тема Великой Отечественной войны в литературе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Поэзия и драматургия Великой Отечественной войне.  «Лейтенантская проза»: В. П. Астафьев, Ю. В. Бондарев, В. В. Быков, Б. Л. Васильев, К. Д. Воробьев, В. Л. Кондратьев и др. (обзор прозы «молодых» лейтенантов) Проблема нравственного выбора на войне Василий Владимирович Быков (1924–2003)  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Виктор Петрович Астафьев (1924–2001). Традиции и новаторство писателя в изображении войны. 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Фадеев Александр Александрович (1901-1956)  «Молодая гвардия» Герои рассказа. Дилемма нравственного выбора между долгом и жизнью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 Чтение и анализ выбранных стихотворений и эпизодов из выбранных пьес</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6.2 Тоталитарная тема в литературе второй ХХ века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 И. Солженицын «Один день Ивана Денисовича»; В. Т. Шаламов «Колымские рассказы» (по выбору учителя) Александр Исаевич Солженицын (1918–2008) Сведения из биографии (с обобщением ранее изученного).  Лауреат Нобелевской премии по литературе.  Повесть «Один день Ивана Денисовича» 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6.3 Социальная и нравственная проблематика в литературе второй половины ХХ века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Валентин Григорьевич Распутин (1937–2015) Василий Макарович Шукшин (1929–1974)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7 «Людей неинтересных в мире нет»:  Литература с середины 1960-х годов до начала ХХI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7.1 Лирика: проблематика и образы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 Иосиф Александрович Бродский (1940–1996) Лауреат Нобелевской премии по литературе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7.2 Драматургия: традиции и новаторство</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Александр Валентинович Вампилов (1937–1972) «Провинциальные анекдоты» (две одноактные пьесы: «История с метранпажем» и «Двадцать минут с ангелом»). Трагикомическая дилогия с глубоким смыслом. Распад нравственного сознания как проблема общества. «Гостиничный»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(«История с метранпажем») «Двадцать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8.  Литература второй половины XX - начала XXI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8.1. Проза второй половины XX - начала XXI века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8.2. Поэзия и драматургия второй половины XX - начала XXI века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9. Литература народов России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9.1 Поэзия и проза народов России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10 Зарубежная литература второй половины XIX-ХХ века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8/4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10.1 Основные тенденции развития зарубежной литературы и «культовые» имена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8/4</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Рэй Брэдбери (1920–2012). Научно-фантастические рассказы «И грянул гром», «Вельд»  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Эрнест Хемингуэй (1899–1961). Новелла «Кошка под дождем». 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Зарубежная поэзия и драматургия второй XIX и XX века Драматизация: разыгрывание одного из эпизодов выбранного произведения, чтение и анализ стихотворений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по дисциплине (дифференцированный зачет)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Промежуточная аттестация по дисциплине (дифференцированный 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Промежуточная аттестация по дисциплине (дифференцированный зачет)</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(диф.зачет)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Всего: (116ч)</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116/54</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bl>
    <w:p/>
    <w:p>
      <w:pPr>
        <w:sectPr>
          <w:pgSz w:orient="landscape" w:w="16838" w:h="11906"/>
          <w:pgMar w:top="1701" w:right="1134" w:bottom="567" w:left="1134" w:header="709" w:footer="709" w:gutter="0"/>
          <w:cols w:num="1" w:space="708"/>
        </w:sectPr>
      </w:pPr>
    </w:p>
    <w:p>
      <w:pPr>
        <w:pStyle w:val="1"/>
      </w:pPr>
      <w:r>
        <w:rPr/>
        <w:t xml:space="preserve">3. </w:t>
      </w:r>
      <w:r>
        <w:rPr/>
        <w:t xml:space="preserve">УСЛОВИЯ</w:t>
      </w:r>
      <w:r>
        <w:rPr/>
        <w:t xml:space="preserve"> </w:t>
      </w:r>
      <w:r>
        <w:rPr/>
        <w:t xml:space="preserve">РЕАЛИЗАЦИИ</w:t>
      </w:r>
      <w:r>
        <w:rPr/>
        <w:t xml:space="preserve"> </w:t>
      </w:r>
      <w:r>
        <w:rPr/>
        <w:t xml:space="preserve">ДИСЦИПЛИНЫ</w:t>
      </w:r>
    </w:p>
    <w:p/>
    <w:p>
      <w:pPr>
        <w:pStyle w:val="2"/>
      </w:pPr>
      <w:r>
        <w:rPr/>
        <w:t xml:space="preserve">3.1. Материально-техническое обеспечение</w:t>
      </w:r>
    </w:p>
    <w:p>
      <w:pPr>
        <w:pStyle w:val="1e"/>
        <w:ind w:left="0" w:right="0" w:firstLine="709"/>
      </w:pPr>
      <w:r>
        <w:rPr/>
        <w:t xml:space="preserve">Кабинет(ы)</w:t>
      </w:r>
      <w:r>
        <w:rPr>
          <w:i w:val="1"/>
          <w:iCs w:val="1"/>
        </w:rPr>
        <w:t xml:space="preserve"> </w:t>
      </w:r>
      <w:r>
        <w:rPr/>
        <w:t xml:space="preserve">Общеобразовательных дисциплин (Русский язык. Литература)</w:t>
      </w:r>
      <w:r>
        <w:rPr/>
        <w:t xml:space="preserve"/>
      </w:r>
      <w:r>
        <w:rPr>
          <w:i w:val="1"/>
          <w:iCs w:val="1"/>
        </w:rPr>
        <w:t xml:space="preserve">, </w:t>
      </w:r>
      <w:r>
        <w:rPr/>
        <w:t xml:space="preserve">оснащенный(е) </w:t>
      </w:r>
      <w:r>
        <w:rPr/>
        <w:t xml:space="preserve">в соответствии с приложением 3 </w:t>
      </w:r>
      <w:r>
        <w:rPr/>
        <w:t xml:space="preserve">О</w:t>
      </w:r>
      <w:r>
        <w:rPr/>
        <w:t xml:space="preserve">ПОП-П</w:t>
      </w:r>
      <w:r>
        <w:rPr/>
        <w:t xml:space="preserve">. </w:t>
      </w:r>
    </w:p>
    <w:p>
      <w:pPr>
        <w:pStyle w:val="1e"/>
        <w:ind w:left="0" w:right="0" w:firstLine="709"/>
      </w:pPr>
    </w:p>
    <w:p/>
    <w:p>
      <w:pPr>
        <w:pStyle w:val="2"/>
      </w:pPr>
      <w:r>
        <w:rPr/>
        <w:t xml:space="preserve">3.2. Учебно-методическое обеспечение</w:t>
      </w:r>
    </w:p>
    <w:p>
      <w:pPr>
        <w:pStyle w:val="1e"/>
      </w:pPr>
      <w:r>
        <w:rPr/>
        <w:t xml:space="preserve">3.2.1. Основные печатные и/или электронные издания</w:t>
      </w:r>
    </w:p>
    <w:p>
      <w:pPr>
        <w:pStyle w:val="4"/>
        <w:ind w:left="0" w:right="0" w:firstLine="709"/>
      </w:pPr>
      <w:r>
        <w:rPr/>
        <w:t xml:space="preserve"/>
      </w:r>
    </w:p>
    <w:p>
      <w:pPr>
        <w:ind w:left="0" w:right="0" w:firstLine="720"/>
      </w:pPr>
      <w:r>
        <w:rPr/>
        <w:t xml:space="preserve">	</w:t>
      </w:r>
      <w:r>
        <w:rPr>
          <w:rFonts w:ascii="Times New Roman" w:hAnsi="Times New Roman" w:eastAsia="Times New Roman" w:cs="Times New Roman"/>
          <w:sz w:val="24"/>
          <w:szCs w:val="24"/>
        </w:rPr>
        <w:t xml:space="preserve">1.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 (Профессиональное образование). – ISBN 978-5-534-01043-5. – Текст: электронный // ЭБС Юрайт [сайт]. – URL: https://urait.ru/bcode/433732</w:t>
      </w:r>
    </w:p>
    <w:p>
      <w:pPr>
        <w:ind w:left="0" w:right="0" w:firstLine="720"/>
      </w:pPr>
      <w:r>
        <w:rPr/>
        <w:t xml:space="preserve">	</w:t>
      </w:r>
      <w:r>
        <w:rPr>
          <w:rFonts w:ascii="Times New Roman" w:hAnsi="Times New Roman" w:eastAsia="Times New Roman" w:cs="Times New Roman"/>
          <w:sz w:val="24"/>
          <w:szCs w:val="24"/>
        </w:rPr>
        <w:t xml:space="preserve">2. Фортунатов, Н. М.  Русская литература первой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207 с. – (Профессиональное образование). – ISBN 978-5-9916-6020-4. – Текст: электронный // ЭБС Юрайт [сайт]. – URL: https://urait.ru/bcode/433733</w:t>
      </w:r>
    </w:p>
    <w:p>
      <w:pPr>
        <w:ind w:left="0" w:right="0" w:firstLine="720"/>
      </w:pPr>
      <w:r>
        <w:rPr/>
        <w:t xml:space="preserve">	</w:t>
      </w:r>
      <w:r>
        <w:rPr>
          <w:rFonts w:ascii="Times New Roman" w:hAnsi="Times New Roman" w:eastAsia="Times New Roman" w:cs="Times New Roman"/>
          <w:sz w:val="24"/>
          <w:szCs w:val="24"/>
        </w:rPr>
        <w:t xml:space="preserve">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 (Профессиональное образование). – ISBN 978-5-534-10666-4. – Текст: электронный // ЭБС Юрайт [сайт]. – URL: https://urait.ru/bcode/431053</w:t>
      </w:r>
    </w:p>
    <w:p>
      <w:pPr>
        <w:rPr>
          <w:rStyle w:val="af4"/>
        </w:rPr>
      </w:pPr>
    </w:p>
    <w:p>
      <w:pPr>
        <w:pStyle w:val="af4"/>
      </w:pPr>
      <w:r>
        <w:rPr>
          <w:lang w:val="en-US"/>
        </w:rPr>
        <w:t xml:space="preserve"/>
      </w:r>
    </w:p>
    <w:p>
      <w:pPr>
        <w:pStyle w:val="1e"/>
      </w:pPr>
      <w:r>
        <w:rPr/>
        <w:t xml:space="preserve">3.2.2. Дополнительные источники </w:t>
      </w:r>
    </w:p>
    <w:p>
      <w:pPr>
        <w:pStyle w:val="4"/>
        <w:ind w:left="0" w:right="0" w:firstLine="709"/>
      </w:pPr>
      <w:r>
        <w:rPr/>
        <w:t xml:space="preserve"/>
      </w:r>
      <w:r>
        <w:rPr/>
        <w:t xml:space="preserve"/>
      </w:r>
    </w:p>
    <w:p>
      <w:pPr>
        <w:ind w:left="0" w:right="0" w:firstLine="720"/>
      </w:pPr>
      <w:r>
        <w:rPr/>
        <w:t xml:space="preserve">	</w:t>
      </w:r>
      <w:r>
        <w:rPr>
          <w:rFonts w:ascii="Times New Roman" w:hAnsi="Times New Roman" w:eastAsia="Times New Roman" w:cs="Times New Roman"/>
          <w:sz w:val="24"/>
          <w:szCs w:val="24"/>
        </w:rPr>
        <w:t xml:space="preserve">1.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 (Профессиональное образование). – ISBN 978-5-534-01043-5. – Текст: электронный // ЭБС Юрайт [сайт]. – URL: https://urait.ru/bcode/433732</w:t>
      </w:r>
    </w:p>
    <w:p>
      <w:pPr>
        <w:ind w:left="0" w:right="0" w:firstLine="720"/>
      </w:pPr>
      <w:r>
        <w:rPr/>
        <w:t xml:space="preserve">	</w:t>
      </w:r>
      <w:r>
        <w:rPr>
          <w:rFonts w:ascii="Times New Roman" w:hAnsi="Times New Roman" w:eastAsia="Times New Roman" w:cs="Times New Roman"/>
          <w:sz w:val="24"/>
          <w:szCs w:val="24"/>
        </w:rPr>
        <w:t xml:space="preserve">2. Фортунатов, Н. М.  Русская литература первой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207 с. – (Профессиональное образование). – ISBN 978-5-9916-6020-4. – Текст: электронный // ЭБС Юрайт [сайт]. – URL: https://urait.ru/bcode/433733</w:t>
      </w:r>
    </w:p>
    <w:p>
      <w:pPr>
        <w:ind w:left="0" w:right="0" w:firstLine="720"/>
      </w:pPr>
      <w:r>
        <w:rPr/>
        <w:t xml:space="preserve">	</w:t>
      </w:r>
      <w:r>
        <w:rPr>
          <w:rFonts w:ascii="Times New Roman" w:hAnsi="Times New Roman" w:eastAsia="Times New Roman" w:cs="Times New Roman"/>
          <w:sz w:val="24"/>
          <w:szCs w:val="24"/>
        </w:rPr>
        <w:t xml:space="preserve">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 (Профессиональное образование). – ISBN 978-5-534-10666-4. – Текст: электронный // ЭБС Юрайт [сайт]. – URL: https://urait.ru/bcode/431053</w:t>
      </w:r>
    </w:p>
    <w:p>
      <w:pPr>
        <w:pStyle w:val="af4"/>
      </w:pPr>
      <w:r>
        <w:rPr/>
        <w:t xml:space="preserve"/>
      </w:r>
      <w:r>
        <w:rPr/>
        <w:t xml:space="preserve"/>
      </w:r>
    </w:p>
    <w:p>
      <w:pPr>
        <w:rPr>
          <w:spacing w:val="276"/>
        </w:rPr>
      </w:pPr>
    </w:p>
    <w:p>
      <w:pPr>
        <w:pStyle w:val="1"/>
      </w:pPr>
      <w:r>
        <w:rPr/>
        <w:t xml:space="preserve">4. </w:t>
      </w:r>
      <w:r>
        <w:rPr/>
        <w:t xml:space="preserve">КОНТРОЛЬ И ОЦЕНКА РЕЗУЛЬТАТОВ </w:t>
      </w:r>
      <w:br/>
      <w:r>
        <w:rPr/>
        <w:t xml:space="preserve">ОСВОЕНИЯ </w:t>
      </w:r>
      <w:r>
        <w:rPr/>
        <w:t xml:space="preserve">ДИСЦИПЛИНЫ</w:t>
      </w:r>
    </w:p>
    <w:p>
      <w:pPr>
        <w:rPr>
          <w:rStyle w:val="HTML"/>
        </w:rPr>
      </w:pP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Результаты обучения</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Показатели освоенности компетенций</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Методы оценки</w:t>
            </w:r>
          </w:p>
        </w:tc>
      </w:tr>
      <w:tr>
        <w:trPr/>
        <w:tc>
          <w:tcPr>
            <w:tcW w:w="3175" w:type="dxa"/>
            <w:vAlign w:val="top"/>
            <w:noWrap/>
          </w:tcPr>
          <w:p>
            <w:pPr>
              <w:ind w:left="0" w:right="0" w:firstLine="0"/>
              <w:spacing w:before="0" w:after="0" w:line="276" w:lineRule="auto"/>
            </w:pPr>
            <w:r>
              <w:rPr/>
              <w:t xml:space="preserve">Знает: 
актуальный профессиональный и социальный контекст, в котором приходится работать и жить, порядок оценки результатов решения задач профессиональной деятельности, методы работы в профессиональной и смежных сферах, основные источники информации и ресурсы для решения задач и/или проблем в профессиональном и/или социальном контексте, структура плана для решения задач, алгоритмы выполнения работ в профессиональной и смежных областях, 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 содержание актуальной нормативно-правовой документации, возможные траектории профессионального развития и самообразования, современная научная и профессиональная терминология, основные этапы разработки и реализации проекта, основы предпринимательской деятельности, правовой и финансовой грамотности, правила разработки презентации, психологические основы деятельности коллектива, психологические особенности личности, правила оформления документов, правила построения устных сообщений, особенности социального и культурного контекста, стандарты антикоррупционного поведения и последствия его нарушения, значимость профессиональной деятельности по специальности, 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 Правила построения простых и сложных предложений на профессиональные темы, Лексический минимум, относящийся к описанию предметов, средств и процессов профессиональной деятельности, Правила чтения текстов профессиональной направленности, основные общеупотребительные глаголы (бытовая и профессиональная лексика), особенности произношения
Умеет: 
распознавать задачу и/или проблему в профессиональном и/или социальном контексте, владеть актуальными методами работы в профессиональной и смежных сферах, оценивать результат и последствия своих действий (самостоятельно или с помощью наставника), выявлять и эффективно искать информацию, необходимую для решения задачи и/или проблемы, определять необходимые ресурсы, анализировать и выделять её составные части
определять этапы решения задачи, составлять план действия, реализовывать составленный план, 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 определять актуальность нормативно-правовой документации в профессиональной деятельности, определять и выстраивать траектории профессионального развития и самообразования, применять современную научную профессиональную терминологию, выявлять достоинства и недостатки коммерческой идеи, находить интересные проектные идеи, грамотно их формулировать и документировать, определять инвестиционную привлекательность коммерческих идей в рамках профессиональной деятельности, выявлять источники финансирования, определять источники достоверной правовой информации, оценивать жизнеспособность проектной идеи, составлять план проекта, презентовать идеи открытия собственного дела в профессиональной деятельности, составлять различные правовые документы, организовывать работу коллектива и команды,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применять стандарты антикоррупционного поведения, описывать значимость своей специальности, демонстрировать осознанное поведение, проявлять гражданско-патриотическую позицию, понимать общий смысл четко произнесенных высказываний на известные темы (профессиональные и бытовые), понимать тексты на базовые профессиональные темы,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 строить простые высказывания о себе и о своей профессиональной деятельности, участвовать в диалогах на знакомые общие и профессиональные темы
</w:t>
            </w:r>
          </w:p>
        </w:tc>
        <w:tc>
          <w:tcPr>
            <w:tcW w:w="3175" w:type="dxa"/>
            <w:vAlign w:val="top"/>
            <w:noWrap/>
          </w:tcPr>
          <w:p>
            <w:pPr>
              <w:ind w:left="0" w:right="0" w:firstLine="0"/>
              <w:spacing w:before="0" w:after="0" w:line="276" w:lineRule="auto"/>
            </w:pPr>
            <w:r>
              <w:rPr/>
              <w:t xml:space="preserve">Выбирать способы решения задач профессиональной деятельности применительно к различным контекстам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Эффективно взаимодействовать и работать в коллективе и команде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Пользоваться профессиональной документацией на государственном и иностранном языках</w:t>
            </w:r>
          </w:p>
        </w:tc>
        <w:tc>
          <w:tcPr>
            <w:tcW w:w="3175" w:type="dxa"/>
            <w:vAlign w:val="top"/>
            <w:noWrap/>
          </w:tcPr>
          <w:p>
            <w:pPr>
              <w:ind w:left="0" w:right="0" w:firstLine="0"/>
              <w:spacing w:before="0" w:after="0" w:line="276" w:lineRule="auto"/>
            </w:pPr>
            <w:r>
              <w:rPr/>
              <w:t xml:space="preserve">Экспертное наблюдение и оценивание знаний на теоретических занятиях
Оценивание выполнения индивидуальных и групповых заданий
Тестирование
Оценка выполнения практического задания (работы)</w:t>
            </w:r>
          </w:p>
        </w:tc>
      </w:tr>
    </w:tbl>
    <w:p>
      <w:pPr>
        <w:rPr/>
      </w:pPr>
    </w:p>
    <w:p>
      <w:pPr>
        <w:rPr/>
      </w:pPr>
    </w:p>
    <w:p>
      <w:pPr>
        <w:rPr/>
      </w:pPr>
    </w:p>
    <w:sectPr>
      <w:pgSz w:orient="portrait" w:w="11906" w:h="16838"/>
      <w:pgMar w:top="1134" w:right="567" w:bottom="1134" w:left="1701" w:header="709" w:footer="709" w:gutter="0"/>
      <w:cols w:num="1"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c"/>
      <w:jc w:val="center"/>
    </w:pPr>
    <w:r>
      <w:fldChar w:fldCharType="begin"/>
    </w:r>
    <w:r>
      <w:instrText xml:space="preserve"> PAGE   \* MERGEFORMAT </w:instrText>
    </w:r>
    <w:r>
      <w:fldChar w:fldCharType="separate"/>
    </w:r>
    <w:r>
      <w:fldChar w:fldCharType="end"/>
    </w:r>
  </w:p>
  <w:p>
    <w:pPr>
      <w:rPr>
        <w:rStyle w:val="a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5482AB06"/>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4512B6DA"/>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9076722D"/>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B10C38EF"/>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AB5A1931"/>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EED65960"/>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F21CBDDA"/>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E1680742"/>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8A9E15AF"/>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4F256437"/>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6D5818C4"/>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ACD60476"/>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39BBB802"/>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F27E5FD6"/>
    <w:multiLevelType w:val="multilevel"/>
    <w:lvl w:ilvl="0">
      <w:start w:val="1"/>
      <w:numFmt w:val="decimal"/>
      <w:suff w:val="tab"/>
      <w:lvlText w:val="%1."/>
      <w:lvlJc w:val="left"/>
      <w:pPr>
        <w:tabs>
          <w:tab w:val="num" w:leader="none" w:pos="0"/>
        </w:tabs>
        <w:ind w:left="720" w:hanging="360"/>
      </w:pPr>
      <w:rPr>
        <w:rFonts w:ascii="Times New Roman Полужирный" w:hAnsi="Times New Roman Полужирный" w:cs="Times New Roman Полужирный" w:hint="default"/>
      </w:rPr>
    </w:lvl>
    <w:lvl w:ilvl="1">
      <w:start w:val="3"/>
      <w:numFmt w:val="decimal"/>
      <w:suff w:val="tab"/>
      <w:lvlText w:val="%1.%2."/>
      <w:lvlJc w:val="left"/>
      <w:pPr>
        <w:tabs>
          <w:tab w:val="num" w:leader="none" w:pos="0"/>
        </w:tabs>
        <w:ind w:left="720" w:hanging="360"/>
      </w:pPr>
      <w:rPr>
        <w:rFonts w:hint="default"/>
      </w:rPr>
    </w:lvl>
    <w:lvl w:ilvl="2">
      <w:start w:val="1"/>
      <w:numFmt w:val="decimal"/>
      <w:suff w:val="tab"/>
      <w:lvlText w:val="%1.%2.%3."/>
      <w:lvlJc w:val="left"/>
      <w:pPr>
        <w:tabs>
          <w:tab w:val="num" w:leader="none" w:pos="0"/>
        </w:tabs>
        <w:ind w:left="1080" w:hanging="720"/>
      </w:pPr>
      <w:rPr>
        <w:rFonts w:hint="default"/>
      </w:rPr>
    </w:lvl>
    <w:lvl w:ilvl="3">
      <w:start w:val="1"/>
      <w:numFmt w:val="decimal"/>
      <w:suff w:val="tab"/>
      <w:lvlText w:val="%1.%2.%3.%4."/>
      <w:lvlJc w:val="left"/>
      <w:pPr>
        <w:tabs>
          <w:tab w:val="num" w:leader="none" w:pos="0"/>
        </w:tabs>
        <w:ind w:left="1080" w:hanging="720"/>
      </w:pPr>
      <w:rPr>
        <w:rFonts w:hint="default"/>
      </w:rPr>
    </w:lvl>
    <w:lvl w:ilvl="4">
      <w:start w:val="1"/>
      <w:numFmt w:val="decimal"/>
      <w:suff w:val="tab"/>
      <w:lvlText w:val="%1.%2.%3.%4.%5."/>
      <w:lvlJc w:val="left"/>
      <w:pPr>
        <w:tabs>
          <w:tab w:val="num" w:leader="none" w:pos="0"/>
        </w:tabs>
        <w:ind w:left="1440" w:hanging="1080"/>
      </w:pPr>
      <w:rPr>
        <w:rFonts w:hint="default"/>
      </w:rPr>
    </w:lvl>
    <w:lvl w:ilvl="5">
      <w:start w:val="1"/>
      <w:numFmt w:val="decimal"/>
      <w:suff w:val="tab"/>
      <w:lvlText w:val="%1.%2.%3.%4.%5.%6."/>
      <w:lvlJc w:val="left"/>
      <w:pPr>
        <w:tabs>
          <w:tab w:val="num" w:leader="none" w:pos="0"/>
        </w:tabs>
        <w:ind w:left="1440" w:hanging="1080"/>
      </w:pPr>
      <w:rPr>
        <w:rFonts w:hint="default"/>
      </w:rPr>
    </w:lvl>
    <w:lvl w:ilvl="6">
      <w:start w:val="1"/>
      <w:numFmt w:val="decimal"/>
      <w:suff w:val="tab"/>
      <w:lvlText w:val="%1.%2.%3.%4.%5.%6.%7."/>
      <w:lvlJc w:val="left"/>
      <w:pPr>
        <w:tabs>
          <w:tab w:val="num" w:leader="none" w:pos="0"/>
        </w:tabs>
        <w:ind w:left="1800" w:hanging="1440"/>
      </w:pPr>
      <w:rPr>
        <w:rFonts w:hint="default"/>
      </w:rPr>
    </w:lvl>
    <w:lvl w:ilvl="7">
      <w:start w:val="1"/>
      <w:numFmt w:val="decimal"/>
      <w:suff w:val="tab"/>
      <w:lvlText w:val="%1.%2.%3.%4.%5.%6.%7.%8."/>
      <w:lvlJc w:val="left"/>
      <w:pPr>
        <w:tabs>
          <w:tab w:val="num" w:leader="none" w:pos="0"/>
        </w:tabs>
        <w:ind w:left="1800" w:hanging="1440"/>
      </w:pPr>
      <w:rPr>
        <w:rFonts w:hint="default"/>
      </w:rPr>
    </w:lvl>
    <w:lvl w:ilvl="8">
      <w:start w:val="1"/>
      <w:numFmt w:val="decimal"/>
      <w:suff w:val="tab"/>
      <w:lvlText w:val="%1.%2.%3.%4.%5.%6.%7.%8.%9."/>
      <w:lvlJc w:val="left"/>
      <w:pPr>
        <w:tabs>
          <w:tab w:val="num" w:leader="none" w:pos="0"/>
        </w:tabs>
        <w:ind w:left="2160" w:hanging="1800"/>
      </w:pPr>
      <w:rPr>
        <w:rFonts w:hint="default"/>
      </w:rPr>
    </w:lvl>
  </w:abstractNum>
  <w:abstractNum w:abstractNumId="15">
    <w:nsid w:val="23250B8E"/>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6">
    <w:nsid w:val="35BB401E"/>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7">
    <w:nsid w:val="4C7C0104"/>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rFonts w:ascii="Times New Roman" w:hAnsi="Times New Roman" w:eastAsia="Times New Roman" w:cs="Times New Roman"/>
      <w:sz w:val="24"/>
      <w:szCs w:val="24"/>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Times New Roman" w:hAnsi="Times New Roman" w:eastAsia="Times New Roman" w:cs="Times New Roman"/>
      <w:lang w:val="x-none"/>
      <w:sz w:val="28"/>
      <w:szCs w:val="28"/>
      <w:b w:val="1"/>
      <w:b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6"/>
      <w:szCs w:val="26"/>
      <w:b w:val="1"/>
      <w:bCs w:val="1"/>
    </w:rPr>
  </w:style>
  <w:style w:type="paragraph" w:styleId="4">
    <w:link w:val="Heading4Char"/>
    <w:name w:val="heading 4"/>
    <w:qFormat/>
    <w:basedOn w:val="Normal"/>
    <w:pPr>
      <w:keepLines w:val="1"/>
      <w:spacing w:after="240" w:line="360" w:lineRule="auto"/>
    </w:pPr>
    <w:rPr>
      <w:sz w:val="24"/>
      <w:szCs w:val="24"/>
      <w:b w:val="0"/>
      <w:bCs w:val="0"/>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4">
    <w:name w:val="List Paragraph"/>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c">
    <w:name w:val="header"/>
    <w:basedOn w:val="Normal"/>
    <w:pPr/>
    <w:rPr/>
  </w:style>
  <w:style w:type="paragraph" w:styleId="ae">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4">
    <w:name w:val="Body Text"/>
    <w:qFormat/>
    <w:basedOn w:val="Normal"/>
    <w:pPr>
      <w:jc w:val="both"/>
      <w:spacing w:before="120" w:after="120"/>
    </w:pPr>
    <w:rPr>
      <w:rFonts w:ascii="Times New Roman" w:hAnsi="Times New Roman" w:eastAsia="Times New Roman" w:cs="Times New Roman"/>
      <w:sz w:val="20"/>
      <w:szCs w:val="20"/>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basedOn w:val="Normal"/>
    <w:pPr/>
    <w:rPr>
      <w:rFonts w:ascii="Times New Roman" w:hAnsi="Times New Roman" w:eastAsia="Times New Roman" w:cs="Times New Roman"/>
      <w:color w:val="000000"/>
      <w:sz w:val="24"/>
      <w:szCs w:val="24"/>
    </w:rPr>
  </w:style>
  <w:style w:type="paragraph" w:styleId="af8">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5">
    <w:name w:val="toc 1"/>
    <w:basedOn w:val="Normal"/>
    <w:pPr>
      <w:spacing w:before="120" w:line="276" w:lineRule="auto"/>
    </w:pPr>
    <w:rPr>
      <w:rFonts w:ascii="Times New Roman" w:hAnsi="Times New Roman" w:eastAsia="Times New Roman" w:cs="Times New Roman"/>
      <w:b w:val="1"/>
      <w:bCs w:val="1"/>
    </w:rPr>
  </w:style>
  <w:style w:type="character">
    <w:name w:val="Заголовок 2 Знак"/>
    <w:rPr>
      <w:rFonts w:ascii="Times New Roman" w:hAnsi="Times New Roman" w:eastAsia="Times New Roman" w:cs="Times New Roman"/>
      <w:lang w:val="x-none"/>
      <w:sz w:val="24"/>
      <w:szCs w:val="24"/>
      <w:b w:val="1"/>
      <w:b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r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c">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Times New Roman" w:hAnsi="Times New Roman" w:eastAsia="Times New Roman" w:cs="Times New Roman"/>
      <w:sz w:val="24"/>
      <w:szCs w:val="24"/>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2">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3">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a">
    <w:name w:val="Заголовок1"/>
    <w:basedOn w:val="Normal"/>
    <w:pPr/>
    <w:rPr>
      <w:color w:val="0058A9"/>
      <w:b w:val="1"/>
      <w:bCs w:val="1"/>
    </w:rPr>
  </w:style>
  <w:style w:type="paragraph" w:styleId="aff4">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5">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6">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7">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8">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9">
    <w:name w:val="Заголовок ЭР (правое окно)"/>
    <w:basedOn w:val="Normal"/>
    <w:pPr>
      <w:jc w:val="left"/>
      <w:spacing w:after="0"/>
    </w:pPr>
    <w:rPr/>
  </w:style>
  <w:style w:type="character">
    <w:name w:val="Интерактивный заголовок"/>
    <w:rPr>
      <w:u w:val="single"/>
    </w:rPr>
  </w:style>
  <w:style w:type="paragraph" w:styleId="affb">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c">
    <w:name w:val="Информация об изменениях"/>
    <w:basedOn w:val="Normal"/>
    <w:pPr>
      <w:ind w:left="360" w:right="0" w:firstLine="0"/>
      <w:spacing w:before="180"/>
    </w:pPr>
    <w:rPr/>
  </w:style>
  <w:style w:type="paragraph" w:styleId="affd">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e">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0">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2">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4">
    <w:name w:val="Комментарий пользователя"/>
    <w:basedOn w:val="Normal"/>
    <w:pPr>
      <w:jc w:val="left"/>
    </w:pPr>
    <w:rPr/>
  </w:style>
  <w:style w:type="character">
    <w:name w:val="Куда обратиться?"/>
    <w:rPr/>
  </w:style>
  <w:style w:type="paragraph" w:styleId="afff6">
    <w:name w:val="Моноширинный"/>
    <w:basedOn w:val="Normal"/>
    <w:pPr>
      <w:spacing w:line="360" w:lineRule="auto"/>
    </w:pPr>
    <w:rPr>
      <w:rFonts w:ascii="Courier New" w:hAnsi="Courier New" w:eastAsia="Courier New" w:cs="Courier New"/>
      <w:sz w:val="24"/>
      <w:szCs w:val="24"/>
    </w:rPr>
  </w:style>
  <w:style w:type="paragraph" w:styleId="afff7">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8">
    <w:name w:val="Необходимые документы"/>
    <w:basedOn w:val="Normal"/>
    <w:pPr>
      <w:ind w:left="0" w:right="0" w:firstLine="118"/>
    </w:pPr>
    <w:rPr/>
  </w:style>
  <w:style w:type="paragraph" w:styleId="afff9">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a">
    <w:name w:val="Таблицы (моноширинный)"/>
    <w:basedOn w:val="Normal"/>
    <w:pPr>
      <w:spacing w:line="360" w:lineRule="auto"/>
    </w:pPr>
    <w:rPr>
      <w:rFonts w:ascii="Courier New" w:hAnsi="Courier New" w:eastAsia="Courier New" w:cs="Courier New"/>
      <w:sz w:val="24"/>
      <w:szCs w:val="24"/>
    </w:rPr>
  </w:style>
  <w:style w:type="paragraph" w:styleId="afffb">
    <w:name w:val="Оглавление"/>
    <w:basedOn w:val="Normal"/>
    <w:pPr>
      <w:ind w:left="140" w:right="0" w:firstLine="0"/>
    </w:pPr>
    <w:rPr/>
  </w:style>
  <w:style w:type="character">
    <w:name w:val="Переменная часть"/>
    <w:rPr>
      <w:sz w:val="18"/>
      <w:szCs w:val="18"/>
    </w:rPr>
  </w:style>
  <w:style w:type="paragraph" w:styleId="afffd">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1">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4">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5">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6">
    <w:name w:val="Текст в таблице"/>
    <w:basedOn w:val="Normal"/>
    <w:pPr>
      <w:ind w:left="0" w:right="0" w:firstLine="500"/>
    </w:pPr>
    <w:rPr/>
  </w:style>
  <w:style w:type="paragraph" w:styleId="affff7">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8">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9">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a">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0">
    <w:name w:val="TOC Heading"/>
    <w:qFormat/>
    <w:basedOn w:val="Normal"/>
    <w:pPr>
      <w:keepNext w:val="1"/>
      <w:keepLines w:val="1"/>
      <w:ind w:left="0" w:right="0" w:firstLine="709"/>
      <w:spacing w:before="240" w:after="0" w:line="259" w:lineRule="auto"/>
    </w:pPr>
    <w:rPr>
      <w:rFonts w:ascii="@Batang" w:hAnsi="@Batang" w:eastAsia="@Batang" w:cs="@Batang"/>
      <w:color w:val="2F5496"/>
      <w:b w:val="0"/>
      <w:bCs w:val="0"/>
    </w:rPr>
  </w:style>
  <w:style w:type="paragraph" w:styleId="affffff1">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8"/>
      <w:szCs w:val="28"/>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rPr>
      <w:rFonts w:ascii="Calibri" w:hAnsi="Calibri" w:eastAsia="Calibri" w:cs="Calibri"/>
    </w:rPr>
  </w:style>
  <w:style w:type="paragraph" w:styleId="1e">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0">
    <w:name w:val="Раздел 1"/>
    <w:basedOn w:val="Normal"/>
    <w:pPr>
      <w:keepNext w:val="1"/>
      <w:spacing w:before="0" w:after="120" w:line="360" w:lineRule="auto"/>
    </w:pPr>
    <w:rPr>
      <w:rFonts w:ascii="Times New Roman Полужирный" w:hAnsi="Times New Roman Полужирный" w:eastAsia="Times New Roman Полужирный" w:cs="Times New Roman Полужирный"/>
      <w:lang w:val="x-none"/>
      <w:smallCaps w:val="0"/>
      <w:caps w:val="1"/>
    </w:rPr>
  </w:style>
  <w:style w:type="paragraph" w:styleId="114">
    <w:name w:val="Раздел 1.1"/>
    <w:basedOn w:val="Normal"/>
    <w:pPr>
      <w:ind w:left="0" w:right="0" w:firstLine="709"/>
      <w:spacing w:after="120" w:line="276" w:lineRule="auto"/>
    </w:pPr>
    <w:rPr>
      <w:rFonts w:ascii="Times New Roman Полужирный" w:hAnsi="Times New Roman Полужирный" w:eastAsia="Times New Roman Полужирный" w:cs="Times New Roman Полужирный"/>
      <w:color w:val="auto"/>
      <w:sz w:val="24"/>
      <w:szCs w:val="24"/>
      <w:b w:val="1"/>
      <w:bCs w:val="1"/>
    </w:rPr>
  </w:style>
  <w:style w:type="character">
    <w:name w:val="Раздел 1 Знак"/>
    <w:rPr>
      <w:rFonts w:ascii="Times New Roman Полужирный" w:hAnsi="Times New Roman Полужирный" w:eastAsia="Times New Roman Полужирный" w:cs="Times New Roman Полужирный"/>
      <w:lang w:val="x-none"/>
      <w:sz w:val="24"/>
      <w:szCs w:val="24"/>
      <w:b w:val="1"/>
      <w:bCs w:val="1"/>
      <w:smallCaps w:val="0"/>
      <w:caps w:val="1"/>
    </w:rPr>
  </w:style>
  <w:style w:type="character">
    <w:name w:val="Раздел 1.1 Знак"/>
    <w:rPr>
      <w:rFonts w:ascii="Times New Roman Полужирный" w:hAnsi="Times New Roman Полужирный" w:eastAsia="Times New Roman Полужирный" w:cs="Times New Roman Полужирный"/>
      <w:color w:val="5A5A5A"/>
      <w:sz w:val="24"/>
      <w:szCs w:val="24"/>
      <w:b w:val="1"/>
      <w:bCs w:val="1"/>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character">
    <w:name w:val="Unresolved Mention"/>
    <w:rPr>
      <w:color w:val="605E5C"/>
    </w:rPr>
  </w:style>
  <w:style w:type="character">
    <w:name w:val="Знак примечания1"/>
    <w:rPr>
      <w:sz w:val="16"/>
      <w:szCs w:val="16"/>
    </w:rPr>
  </w:style>
  <w:style w:type="paragraph" w:styleId="HTML">
    <w:name w:val="HTML Preformatted"/>
    <w:basedOn w:val="Normal"/>
    <w:pPr/>
    <w:rPr>
      <w:rFonts w:ascii="Courier New" w:hAnsi="Courier New" w:eastAsia="Courier New" w:cs="Courier New"/>
      <w:sz w:val="20"/>
      <w:szCs w:val="20"/>
    </w:rPr>
  </w:style>
  <w:style w:type="character">
    <w:name w:val="Стандартный HTML Знак"/>
    <w:rPr>
      <w:rFonts w:ascii="Courier New" w:hAnsi="Courier New" w:eastAsia="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2024-07-24T09:57:00+03:00</dcterms:created>
  <dcterms:modified xsi:type="dcterms:W3CDTF">2026-05-13T14:08:00+03:00</dcterms:modified>
</cp:coreProperties>
</file>

<file path=docProps/custom.xml><?xml version="1.0" encoding="utf-8"?>
<Properties xmlns="http://schemas.openxmlformats.org/officeDocument/2006/custom-properties" xmlns:vt="http://schemas.openxmlformats.org/officeDocument/2006/docPropsVTypes"/>
</file>